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FF" w:rsidRDefault="00F668FF" w:rsidP="00F668FF">
      <w:pPr>
        <w:pStyle w:val="1"/>
        <w:spacing w:line="264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3. </w:t>
      </w:r>
      <w:hyperlink r:id="rId8" w:history="1">
        <w:r>
          <w:rPr>
            <w:rStyle w:val="a6"/>
            <w:b/>
            <w:sz w:val="24"/>
            <w:szCs w:val="24"/>
          </w:rPr>
          <w:t>Отчет</w:t>
        </w:r>
      </w:hyperlink>
      <w:r>
        <w:rPr>
          <w:b/>
          <w:sz w:val="24"/>
          <w:szCs w:val="24"/>
        </w:rPr>
        <w:t xml:space="preserve"> о выполнении основных мероприятий муниципальной программы  «Развитие культуры» </w:t>
      </w:r>
    </w:p>
    <w:p w:rsidR="00F668FF" w:rsidRDefault="00F668FF" w:rsidP="00F668FF">
      <w:pPr>
        <w:suppressAutoHyphens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 итогам 2024 года</w:t>
      </w:r>
    </w:p>
    <w:p w:rsidR="00F668FF" w:rsidRDefault="00F668FF" w:rsidP="00F668FF">
      <w:pPr>
        <w:suppressAutoHyphens w:val="0"/>
        <w:jc w:val="center"/>
        <w:rPr>
          <w:lang w:eastAsia="ru-RU"/>
        </w:rPr>
      </w:pPr>
    </w:p>
    <w:tbl>
      <w:tblPr>
        <w:tblW w:w="1518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38"/>
        <w:gridCol w:w="468"/>
        <w:gridCol w:w="539"/>
        <w:gridCol w:w="394"/>
        <w:gridCol w:w="2099"/>
        <w:gridCol w:w="2014"/>
        <w:gridCol w:w="1079"/>
        <w:gridCol w:w="1007"/>
        <w:gridCol w:w="2677"/>
        <w:gridCol w:w="2947"/>
        <w:gridCol w:w="1418"/>
      </w:tblGrid>
      <w:tr w:rsidR="00F668FF" w:rsidTr="00F668FF">
        <w:trPr>
          <w:trHeight w:val="20"/>
        </w:trPr>
        <w:tc>
          <w:tcPr>
            <w:tcW w:w="194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0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Ответственный исполнитель, </w:t>
            </w:r>
            <w:r>
              <w:rPr>
                <w:lang w:eastAsia="ru-RU"/>
              </w:rPr>
              <w:t>соисполнители</w:t>
            </w:r>
          </w:p>
        </w:tc>
        <w:tc>
          <w:tcPr>
            <w:tcW w:w="10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Срок выполнения плановый </w:t>
            </w:r>
          </w:p>
        </w:tc>
        <w:tc>
          <w:tcPr>
            <w:tcW w:w="10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Срок выполнения фактический</w:t>
            </w:r>
          </w:p>
        </w:tc>
        <w:tc>
          <w:tcPr>
            <w:tcW w:w="267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4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Достигнутый </w:t>
            </w:r>
            <w:r>
              <w:rPr>
                <w:lang w:eastAsia="ru-RU"/>
              </w:rPr>
              <w:t>результат на конец отчетного периода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Пп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</w:t>
            </w:r>
          </w:p>
        </w:tc>
        <w:tc>
          <w:tcPr>
            <w:tcW w:w="209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94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Подпрограмма </w:t>
            </w:r>
            <w:r>
              <w:rPr>
                <w:b/>
              </w:rPr>
              <w:t>«Развитие библиотечного дела»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668FF" w:rsidRDefault="00F668FF">
            <w:pPr>
              <w:suppressAutoHyphens w:val="0"/>
              <w:spacing w:before="40" w:after="4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7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Осуществление библиотечного обслуживания населения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rPr>
                <w:color w:val="000000"/>
                <w:lang w:eastAsia="ru-RU"/>
              </w:rP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r>
              <w:rPr>
                <w:lang w:eastAsia="ru-RU"/>
              </w:rPr>
              <w:t xml:space="preserve">- количество зарегистрированных пользователей составит-  </w:t>
            </w:r>
            <w:r w:rsidR="00B17AA6">
              <w:rPr>
                <w:lang w:eastAsia="ru-RU"/>
              </w:rPr>
              <w:t xml:space="preserve">11000 </w:t>
            </w:r>
            <w:r>
              <w:rPr>
                <w:lang w:eastAsia="ru-RU"/>
              </w:rPr>
              <w:t>человек,</w:t>
            </w:r>
            <w:r>
              <w:rPr>
                <w:lang w:eastAsia="ru-RU"/>
              </w:rPr>
              <w:br/>
              <w:t>- количество документов, выданных из фонда библиотек</w:t>
            </w:r>
            <w:r w:rsidR="00B17AA6">
              <w:rPr>
                <w:lang w:eastAsia="ru-RU"/>
              </w:rPr>
              <w:t xml:space="preserve"> 209450</w:t>
            </w:r>
            <w:r>
              <w:rPr>
                <w:lang w:eastAsia="ru-RU"/>
              </w:rPr>
              <w:t xml:space="preserve"> ед</w:t>
            </w:r>
            <w:r w:rsidR="00B17AA6">
              <w:rPr>
                <w:lang w:eastAsia="ru-RU"/>
              </w:rPr>
              <w:t>иниц,</w:t>
            </w:r>
            <w:r w:rsidR="00B17AA6">
              <w:rPr>
                <w:lang w:eastAsia="ru-RU"/>
              </w:rPr>
              <w:br/>
              <w:t>- количество посещений 18521</w:t>
            </w:r>
            <w:r>
              <w:rPr>
                <w:lang w:eastAsia="ru-RU"/>
              </w:rPr>
              <w:t>единиц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r>
              <w:rPr>
                <w:lang w:eastAsia="ru-RU"/>
              </w:rPr>
              <w:t>- количество зарегистрированных пользователей –</w:t>
            </w:r>
            <w:r w:rsidR="00B17AA6">
              <w:rPr>
                <w:lang w:eastAsia="ru-RU"/>
              </w:rPr>
              <w:t xml:space="preserve">11387 </w:t>
            </w:r>
            <w:r>
              <w:rPr>
                <w:lang w:eastAsia="ru-RU"/>
              </w:rPr>
              <w:t>человек,</w:t>
            </w:r>
            <w:r>
              <w:rPr>
                <w:lang w:eastAsia="ru-RU"/>
              </w:rPr>
              <w:br/>
              <w:t>- количество документов, выданных из фонда библиотек –</w:t>
            </w:r>
            <w:r w:rsidR="00B17AA6">
              <w:rPr>
                <w:lang w:eastAsia="ru-RU"/>
              </w:rPr>
              <w:t>170198</w:t>
            </w:r>
            <w:r>
              <w:rPr>
                <w:lang w:eastAsia="ru-RU"/>
              </w:rPr>
              <w:t>.единиц,</w:t>
            </w:r>
            <w:r>
              <w:rPr>
                <w:lang w:eastAsia="ru-RU"/>
              </w:rPr>
              <w:br/>
              <w:t xml:space="preserve">- количество посещений - </w:t>
            </w:r>
            <w:r w:rsidR="00B17AA6">
              <w:rPr>
                <w:lang w:eastAsia="ru-RU"/>
              </w:rPr>
              <w:t>179021</w:t>
            </w:r>
            <w:r>
              <w:rPr>
                <w:lang w:eastAsia="ru-RU"/>
              </w:rPr>
              <w:t xml:space="preserve">единиц 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Организация библиотечной деятельности на основе использования новейших информационных технологий, предоставления пользователям доступа в корпоративные и глобальные информационные сети, обслуживание пользователей в режимах локального </w:t>
            </w:r>
            <w:r>
              <w:rPr>
                <w:lang w:eastAsia="ru-RU"/>
              </w:rPr>
              <w:lastRenderedPageBreak/>
              <w:t>и удаленного доступа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- количество зарегистрированных пользователей составит  </w:t>
            </w:r>
            <w:r w:rsidR="00B17AA6">
              <w:rPr>
                <w:lang w:eastAsia="ru-RU"/>
              </w:rPr>
              <w:t xml:space="preserve">11000 </w:t>
            </w:r>
            <w:r>
              <w:rPr>
                <w:lang w:eastAsia="ru-RU"/>
              </w:rPr>
              <w:t>человек,</w:t>
            </w:r>
            <w:r>
              <w:rPr>
                <w:lang w:eastAsia="ru-RU"/>
              </w:rPr>
              <w:br/>
              <w:t xml:space="preserve">- количество документов, выданных из фонда библиотек </w:t>
            </w:r>
            <w:r w:rsidR="00B17AA6">
              <w:rPr>
                <w:lang w:eastAsia="ru-RU"/>
              </w:rPr>
              <w:t>209450</w:t>
            </w:r>
            <w:r>
              <w:rPr>
                <w:lang w:eastAsia="ru-RU"/>
              </w:rPr>
              <w:t>единиц,</w:t>
            </w:r>
            <w:r>
              <w:rPr>
                <w:lang w:eastAsia="ru-RU"/>
              </w:rPr>
              <w:br/>
              <w:t xml:space="preserve">- количество посещений </w:t>
            </w:r>
            <w:r w:rsidR="00B17AA6">
              <w:rPr>
                <w:lang w:eastAsia="ru-RU"/>
              </w:rPr>
              <w:t>18521</w:t>
            </w:r>
            <w:r>
              <w:rPr>
                <w:lang w:eastAsia="ru-RU"/>
              </w:rPr>
              <w:t>единиц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r>
              <w:rPr>
                <w:lang w:eastAsia="ru-RU"/>
              </w:rPr>
              <w:t>- количество зарегистрированных пользователей –</w:t>
            </w:r>
            <w:r w:rsidR="00B17AA6">
              <w:rPr>
                <w:lang w:eastAsia="ru-RU"/>
              </w:rPr>
              <w:t>11387</w:t>
            </w:r>
            <w:r>
              <w:rPr>
                <w:lang w:eastAsia="ru-RU"/>
              </w:rPr>
              <w:t>человек,</w:t>
            </w:r>
            <w:r>
              <w:rPr>
                <w:lang w:eastAsia="ru-RU"/>
              </w:rPr>
              <w:br/>
              <w:t>- количество документов, выданных из фонда библиотек –</w:t>
            </w:r>
            <w:r w:rsidR="00B17AA6">
              <w:rPr>
                <w:lang w:eastAsia="ru-RU"/>
              </w:rPr>
              <w:t>170198</w:t>
            </w:r>
            <w:r>
              <w:rPr>
                <w:lang w:eastAsia="ru-RU"/>
              </w:rPr>
              <w:t>.единиц,</w:t>
            </w:r>
            <w:r>
              <w:rPr>
                <w:lang w:eastAsia="ru-RU"/>
              </w:rPr>
              <w:br/>
              <w:t xml:space="preserve">- количество посещений - </w:t>
            </w:r>
            <w:r w:rsidR="00B17AA6">
              <w:rPr>
                <w:lang w:eastAsia="ru-RU"/>
              </w:rPr>
              <w:t>179021</w:t>
            </w:r>
            <w:r>
              <w:rPr>
                <w:lang w:eastAsia="ru-RU"/>
              </w:rPr>
              <w:t xml:space="preserve">единиц 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Увеличение количества библиографических записей в сводном электронном каталоге Удмуртской Республики создаст возможность более полного удовлетворения запросов удаленных пользователей, увеличение количества библиографических записей, переданных в сводный электронный каталог Удмуртской Республики к 2021 году  составит </w:t>
            </w:r>
            <w:r w:rsidR="00B17AA6">
              <w:rPr>
                <w:lang w:eastAsia="ru-RU"/>
              </w:rPr>
              <w:t>4020</w:t>
            </w:r>
            <w:r>
              <w:rPr>
                <w:lang w:eastAsia="ru-RU"/>
              </w:rPr>
              <w:t>ед.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B17AA6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8865</w:t>
            </w:r>
            <w:r w:rsidR="00F668FF">
              <w:rPr>
                <w:color w:val="000000"/>
                <w:lang w:eastAsia="ru-RU"/>
              </w:rPr>
              <w:t>записей внесено в электронный каталог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Якшур-Бодьинское МАУ ИКЦ    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Организация и проведение мероприятий тематической направленности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pPr>
              <w:suppressAutoHyphens w:val="0"/>
              <w:spacing w:before="40" w:after="40"/>
              <w:jc w:val="both"/>
              <w:rPr>
                <w:color w:val="FF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Проведено культурно-массовых мероприятий - </w:t>
            </w:r>
            <w:r w:rsidR="00B17AA6">
              <w:rPr>
                <w:color w:val="000000"/>
                <w:lang w:eastAsia="ru-RU"/>
              </w:rPr>
              <w:t>1608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05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Мероприятия по комплектованию книжных фондов библиотек муниципальных районов (городских округов) в Удмуртской Республике (обновление республиканского библиотечного фонда </w:t>
            </w:r>
            <w:r>
              <w:rPr>
                <w:lang w:eastAsia="ru-RU"/>
              </w:rPr>
              <w:lastRenderedPageBreak/>
              <w:t>сети муниципальных библиотек)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Увеличение числа пользователей библиотек на </w:t>
            </w:r>
            <w:r w:rsidR="00B17AA6">
              <w:rPr>
                <w:lang w:eastAsia="ru-RU"/>
              </w:rPr>
              <w:t>121</w:t>
            </w:r>
            <w:r>
              <w:rPr>
                <w:lang w:eastAsia="ru-RU"/>
              </w:rPr>
              <w:t>.%  к уровню 2012 года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Увеличение числа пользователей библиотек на </w:t>
            </w:r>
            <w:r w:rsidR="00B17AA6">
              <w:rPr>
                <w:lang w:eastAsia="ru-RU"/>
              </w:rPr>
              <w:t>121</w:t>
            </w:r>
            <w:r>
              <w:rPr>
                <w:lang w:eastAsia="ru-RU"/>
              </w:rPr>
              <w:t>.%  к уровню 2012 года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06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Оформление тематических выставок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Оформление тематических выставок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Оформлено выставок –</w:t>
            </w:r>
            <w:r w:rsidR="00B17AA6">
              <w:rPr>
                <w:color w:val="000000"/>
                <w:lang w:eastAsia="ru-RU"/>
              </w:rPr>
              <w:t>648</w:t>
            </w:r>
          </w:p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Выставки новых поступлений –</w:t>
            </w:r>
            <w:r w:rsidR="00B17AA6">
              <w:rPr>
                <w:color w:val="000000"/>
                <w:lang w:eastAsia="ru-RU"/>
              </w:rPr>
              <w:t>30</w:t>
            </w:r>
          </w:p>
          <w:p w:rsidR="00F668FF" w:rsidRDefault="00F668FF" w:rsidP="00B17AA6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Обзоры новых поступлений - </w:t>
            </w:r>
            <w:r w:rsidR="00B17AA6">
              <w:rPr>
                <w:color w:val="000000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07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Предоставление доступа удаленным пользователям к информации, ресурсам, сервисам, размещенным на официальном сайте библиотеки, техническая поддержка сайта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Информированность пользователей услугами библиотеки. К 2021 г. количество посещений удаленных пользователей составит   посещения.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17AA6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посещений удаленных пользователей -</w:t>
            </w:r>
            <w:r w:rsidR="00B17AA6">
              <w:rPr>
                <w:lang w:eastAsia="ru-RU"/>
              </w:rPr>
              <w:t>35813</w:t>
            </w:r>
            <w:r>
              <w:rPr>
                <w:lang w:eastAsia="ru-RU"/>
              </w:rPr>
              <w:t xml:space="preserve"> посещений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08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Оказание методической помощи библиотекам Якшур-Бодьинского района  в сельских поселениях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Методическая помощь библиотекам Якшур-Бодьинского района по организации библиотечного обслуживания населения, внедрению новых форм и методов работы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Количество индивидуальных консультаций – </w:t>
            </w:r>
            <w:r w:rsidR="00B17AA6">
              <w:rPr>
                <w:color w:val="000000"/>
                <w:lang w:eastAsia="ru-RU"/>
              </w:rPr>
              <w:t>175</w:t>
            </w:r>
          </w:p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Количество групповых консультаций – </w:t>
            </w:r>
            <w:r w:rsidR="00B17AA6">
              <w:rPr>
                <w:color w:val="000000"/>
                <w:lang w:eastAsia="ru-RU"/>
              </w:rPr>
              <w:t>50</w:t>
            </w:r>
          </w:p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Количество обучающих мероприятий -</w:t>
            </w:r>
            <w:r w:rsidR="00B17AA6">
              <w:rPr>
                <w:color w:val="000000"/>
                <w:lang w:eastAsia="ru-RU"/>
              </w:rPr>
              <w:t>1</w:t>
            </w:r>
          </w:p>
          <w:p w:rsidR="00F668FF" w:rsidRDefault="00F668FF" w:rsidP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Количество выездов в сельские библиотеки -</w:t>
            </w:r>
            <w:r w:rsidR="00B17AA6">
              <w:rPr>
                <w:color w:val="000000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09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Информирование населения об организации оказания библиотечных услуг в Якшур-Бодьинском  районе, проводимых мероприятиях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Публикация информации в печатных средствах массовой информации, передачи (сюжеты) на телевидении и радио. Информирование населения о деятельности муниципальных библиотек, информирование населения об организации библиотечного обслуживания, о мероприятиях населения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Информирование в районной газете «Рассвет» -</w:t>
            </w:r>
            <w:r w:rsidR="00B17AA6">
              <w:rPr>
                <w:color w:val="000000"/>
                <w:lang w:eastAsia="ru-RU"/>
              </w:rPr>
              <w:t>30</w:t>
            </w:r>
            <w:r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Мероприятия по подключению общедоступных муниципальных библиотек к информационно-телекоммуникационной сети «Интернет» и развитие системы библиотечного дела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Подключение 100% библиотек Якшур-Бодьинского района к сети «Интернет»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Подключено 19 библиотек района из 20, что составляет 95%.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11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района.  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color w:val="FF0000"/>
                <w:lang w:eastAsia="ru-RU"/>
              </w:rPr>
            </w:pPr>
            <w:r>
              <w:rPr>
                <w:lang w:eastAsia="ru-RU"/>
              </w:rPr>
              <w:t>Уплата налога на имущество учреждений культуры Якшур-Бодьинского района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Комплектование библиотечного фонда. Прием и учет поступивших документов. Работа с фондом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Поступило </w:t>
            </w:r>
            <w:r w:rsidR="00B17AA6">
              <w:rPr>
                <w:lang w:eastAsia="ru-RU"/>
              </w:rPr>
              <w:t>2903</w:t>
            </w:r>
            <w:r>
              <w:rPr>
                <w:lang w:eastAsia="ru-RU"/>
              </w:rPr>
              <w:t xml:space="preserve">.экз. </w:t>
            </w:r>
          </w:p>
          <w:p w:rsidR="00F668FF" w:rsidRDefault="00F668FF" w:rsidP="00B17AA6">
            <w:pPr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Проверка фондов библиотек в  </w:t>
            </w:r>
            <w:r w:rsidR="00B17AA6">
              <w:t>Старозяцинской</w:t>
            </w:r>
            <w:r>
              <w:t xml:space="preserve"> библиотеке, </w:t>
            </w:r>
            <w:r w:rsidR="00B17AA6">
              <w:t>Читальный зал ОБО, Люкшудьинская</w:t>
            </w:r>
            <w:r>
              <w:t xml:space="preserve"> библиотек</w:t>
            </w:r>
            <w:r w:rsidR="00B17AA6">
              <w:t>а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Подпрограмма </w:t>
            </w:r>
          </w:p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«Развитие культурно-досуговой деятельности»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Заключение соглашений с органами местного самоуправления поселений по созданию условий для организации досуга и обеспечения жителей поселения услугами организаций </w:t>
            </w:r>
            <w:r>
              <w:rPr>
                <w:color w:val="000000"/>
                <w:lang w:eastAsia="ru-RU"/>
              </w:rPr>
              <w:lastRenderedPageBreak/>
              <w:t>культуры для исполнения Администрации муниципального образования " Муниципальный округ Якшур-Бодьинского район УР"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 xml:space="preserve"> Заключение соглашений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</w:pPr>
            <w:r>
              <w:t xml:space="preserve"> Соглашения заключены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досуга и развитие народного творчества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клубных формирований и количество участников в клубных формированиях   в соответствии с муниципальным заданием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клубных формирований –</w:t>
            </w:r>
            <w:r w:rsidR="00981D63">
              <w:rPr>
                <w:lang w:eastAsia="ru-RU"/>
              </w:rPr>
              <w:t>1</w:t>
            </w:r>
            <w:r w:rsidR="005307E4">
              <w:rPr>
                <w:lang w:eastAsia="ru-RU"/>
              </w:rPr>
              <w:t xml:space="preserve">64 </w:t>
            </w:r>
            <w:r>
              <w:rPr>
                <w:lang w:eastAsia="ru-RU"/>
              </w:rPr>
              <w:t>ед.</w:t>
            </w:r>
          </w:p>
          <w:p w:rsidR="00F668FF" w:rsidRDefault="00F668FF" w:rsidP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участников в клубных формированиях –</w:t>
            </w:r>
            <w:r w:rsidR="005307E4">
              <w:rPr>
                <w:lang w:eastAsia="ru-RU"/>
              </w:rPr>
              <w:t>2067</w:t>
            </w:r>
            <w:r>
              <w:rPr>
                <w:lang w:eastAsia="ru-RU"/>
              </w:rPr>
              <w:t xml:space="preserve">  человек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Сохранение и развитие народной традиционной культуры, поддержка любительского и художественного творчества, другой самодеятельности и творческой инициативы и социально-культурной активности населения 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Увеличение среднего числа участников клубных формирований в расчете на 1000 человек населения составит 100 человек.</w:t>
            </w:r>
            <w:r>
              <w:rPr>
                <w:lang w:eastAsia="ru-RU"/>
              </w:rPr>
              <w:br/>
              <w:t>Среднее число детей в возрасте до 14 лет - участников клубных формирований, в расчете на 1000 детей в возрасте до 14 лет составит 146  человек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5307E4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Увеличение среднего числа участников клубных формирований в расчете на 1000 человек населения – </w:t>
            </w:r>
            <w:r w:rsidR="005307E4">
              <w:rPr>
                <w:lang w:eastAsia="ru-RU"/>
              </w:rPr>
              <w:t xml:space="preserve">107 </w:t>
            </w:r>
            <w:r>
              <w:rPr>
                <w:lang w:eastAsia="ru-RU"/>
              </w:rPr>
              <w:t>человек.</w:t>
            </w:r>
            <w:r>
              <w:rPr>
                <w:lang w:eastAsia="ru-RU"/>
              </w:rPr>
              <w:br/>
              <w:t>Среднее число детей в возрасте до 14 лет - участников клубных формирований, в расчете на 1000 детей в возрасте до 14 лет 203 человек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7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04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мероприятий, в том числе по популяризации национальных культур (праздники народного календаря, государственные праздники)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F668FF">
            <w:r>
              <w:t>2024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Организация и  проведение  различных по форме и тематике культурно-массовых мероприятий.  Посещение культурно-массовых мероприятий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81D63" w:rsidRDefault="00F668FF" w:rsidP="00B30E3C">
            <w:pPr>
              <w:pStyle w:val="a5"/>
              <w:ind w:left="7" w:firstLine="0"/>
              <w:rPr>
                <w:rFonts w:ascii="Times New Roman" w:hAnsi="Times New Roman" w:cs="Times New Roman"/>
                <w:lang w:eastAsia="ru-RU"/>
              </w:rPr>
            </w:pPr>
            <w:r w:rsidRPr="00F668FF">
              <w:rPr>
                <w:rFonts w:ascii="Times New Roman" w:hAnsi="Times New Roman" w:cs="Times New Roman"/>
                <w:lang w:eastAsia="ru-RU"/>
              </w:rPr>
              <w:t>Организация и  проведение  различных по форме и тематике культурно-массовых мероприятий –</w:t>
            </w:r>
            <w:r w:rsidR="00B17AA6">
              <w:rPr>
                <w:rFonts w:ascii="Times New Roman" w:hAnsi="Times New Roman" w:cs="Times New Roman"/>
                <w:lang w:eastAsia="ru-RU"/>
              </w:rPr>
              <w:t xml:space="preserve"> 3000. </w:t>
            </w:r>
          </w:p>
          <w:p w:rsidR="00F668FF" w:rsidRDefault="00F668FF" w:rsidP="00B30E3C">
            <w:pPr>
              <w:pStyle w:val="a5"/>
              <w:ind w:left="7" w:firstLine="0"/>
              <w:rPr>
                <w:rFonts w:eastAsia="Times New Roman"/>
                <w:lang w:eastAsia="ru-RU"/>
              </w:rPr>
            </w:pPr>
            <w:r w:rsidRPr="00F668FF">
              <w:rPr>
                <w:rFonts w:ascii="Times New Roman" w:hAnsi="Times New Roman" w:cs="Times New Roman"/>
                <w:lang w:eastAsia="ru-RU"/>
              </w:rPr>
              <w:t xml:space="preserve">Посещение культурно-массовых мероприятий </w:t>
            </w:r>
            <w:r w:rsidR="00B17AA6">
              <w:rPr>
                <w:rFonts w:ascii="Times New Roman" w:hAnsi="Times New Roman" w:cs="Times New Roman"/>
                <w:lang w:eastAsia="ru-RU"/>
              </w:rPr>
              <w:t>–</w:t>
            </w:r>
            <w:r>
              <w:rPr>
                <w:lang w:eastAsia="ru-RU"/>
              </w:rPr>
              <w:t xml:space="preserve"> </w:t>
            </w:r>
            <w:r w:rsidR="00B17AA6">
              <w:rPr>
                <w:lang w:eastAsia="ru-RU"/>
              </w:rPr>
              <w:t>261314 человек.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05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Проведение районных конкурсов  </w:t>
            </w:r>
            <w:r>
              <w:rPr>
                <w:color w:val="000000"/>
                <w:lang w:eastAsia="ru-RU"/>
              </w:rPr>
              <w:lastRenderedPageBreak/>
              <w:t>и фестивалей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Якшур-Бодьинское </w:t>
            </w:r>
            <w:r>
              <w:rPr>
                <w:color w:val="000000"/>
                <w:lang w:eastAsia="ru-RU"/>
              </w:rPr>
              <w:lastRenderedPageBreak/>
              <w:t xml:space="preserve">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lastRenderedPageBreak/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Выявление новых, ярких, творческих  коллективов,  </w:t>
            </w:r>
            <w:r>
              <w:rPr>
                <w:lang w:eastAsia="ru-RU"/>
              </w:rPr>
              <w:lastRenderedPageBreak/>
              <w:t>повышение исполнительского мастерства, создание среды для обмена опытом работы среди специалистов района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B30E3C" w:rsidRDefault="00F668FF" w:rsidP="00B30E3C">
            <w:pPr>
              <w:pStyle w:val="a5"/>
              <w:ind w:left="14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lastRenderedPageBreak/>
              <w:t>Организовано и проведено районных конкурсов –.</w:t>
            </w:r>
            <w:r w:rsidR="00760253">
              <w:rPr>
                <w:rFonts w:ascii="Times New Roman" w:hAnsi="Times New Roman" w:cs="Times New Roman"/>
                <w:lang w:eastAsia="ru-RU"/>
              </w:rPr>
              <w:t>16</w:t>
            </w:r>
          </w:p>
          <w:p w:rsidR="00B30E3C" w:rsidRDefault="00F668FF" w:rsidP="00B30E3C">
            <w:pPr>
              <w:pStyle w:val="a5"/>
              <w:ind w:left="149" w:firstLine="0"/>
              <w:rPr>
                <w:rFonts w:ascii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Приняли участие в  республиканских и международных конкурсах и фестивалях </w:t>
            </w:r>
            <w:r w:rsidR="00B30E3C">
              <w:rPr>
                <w:rFonts w:ascii="Times New Roman" w:hAnsi="Times New Roman" w:cs="Times New Roman"/>
                <w:lang w:eastAsia="ru-RU"/>
              </w:rPr>
              <w:t>–</w:t>
            </w:r>
            <w:r w:rsidR="00760253">
              <w:rPr>
                <w:rFonts w:ascii="Times New Roman" w:hAnsi="Times New Roman" w:cs="Times New Roman"/>
                <w:lang w:eastAsia="ru-RU"/>
              </w:rPr>
              <w:t>39</w:t>
            </w:r>
          </w:p>
          <w:p w:rsidR="00F668FF" w:rsidRDefault="00F668FF" w:rsidP="00B30E3C">
            <w:pPr>
              <w:pStyle w:val="a5"/>
              <w:ind w:left="149" w:firstLine="0"/>
              <w:rPr>
                <w:rFonts w:eastAsia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 xml:space="preserve">, в детских республиканских и международных конкурсах - </w:t>
            </w:r>
            <w:r w:rsidR="00760253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06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Информирование населения района о планируемых и проведенных зрелищных мероприятиях, конкурсах и фестивалях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Информирование населения о деятельности общественных центров национальных культур, пресс и пост-релизы мероприятий, взаимодействие с местными СМИ, публикации в Интернет-ресурсах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Информирование населения о деятельности на страницах ВК</w:t>
            </w:r>
          </w:p>
          <w:p w:rsidR="00F668FF" w:rsidRDefault="009C08DC">
            <w:pPr>
              <w:jc w:val="both"/>
              <w:rPr>
                <w:color w:val="000000"/>
                <w:lang w:eastAsia="ru-RU"/>
              </w:rPr>
            </w:pPr>
            <w:hyperlink r:id="rId9" w:history="1">
              <w:r w:rsidR="00F668FF">
                <w:rPr>
                  <w:rStyle w:val="a6"/>
                  <w:lang w:eastAsia="ru-RU"/>
                </w:rPr>
                <w:t>https://vk.com/mauiktsbodia</w:t>
              </w:r>
            </w:hyperlink>
          </w:p>
          <w:p w:rsidR="00F668FF" w:rsidRDefault="00F668F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 официальном сайте МАУ ИКЦ</w:t>
            </w:r>
          </w:p>
          <w:p w:rsidR="00F668FF" w:rsidRDefault="00F668F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http://мауикц.рф/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07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методической работы в установленной сфере деятельности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методической работы в установленной сфере деятельности (количество выездов не менее 7, проведение производственных совещаний  не менее 2, консультаций не менее 50, семинаров и мастер-классов - 12)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B30E3C" w:rsidRDefault="00F668FF" w:rsidP="00B30E3C">
            <w:pPr>
              <w:pStyle w:val="a5"/>
              <w:ind w:left="14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Выполнение методической работы в установленной сфере деятельности:</w:t>
            </w:r>
          </w:p>
          <w:p w:rsidR="00F668FF" w:rsidRPr="00B30E3C" w:rsidRDefault="00F668FF" w:rsidP="00B30E3C">
            <w:pPr>
              <w:pStyle w:val="a5"/>
              <w:ind w:left="149" w:firstLine="0"/>
              <w:rPr>
                <w:rFonts w:ascii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- количество выездов -  7</w:t>
            </w:r>
          </w:p>
          <w:p w:rsidR="00F668FF" w:rsidRPr="00B30E3C" w:rsidRDefault="00F668FF" w:rsidP="00B30E3C">
            <w:pPr>
              <w:pStyle w:val="a5"/>
              <w:ind w:left="149" w:firstLine="0"/>
              <w:rPr>
                <w:rFonts w:ascii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 xml:space="preserve">- проведение производственных совещаний  - </w:t>
            </w:r>
            <w:r w:rsidR="00760253">
              <w:rPr>
                <w:rFonts w:ascii="Times New Roman" w:hAnsi="Times New Roman" w:cs="Times New Roman"/>
                <w:lang w:eastAsia="ru-RU"/>
              </w:rPr>
              <w:t>12</w:t>
            </w:r>
            <w:r w:rsidRPr="00B30E3C">
              <w:rPr>
                <w:rFonts w:ascii="Times New Roman" w:hAnsi="Times New Roman" w:cs="Times New Roman"/>
                <w:lang w:eastAsia="ru-RU"/>
              </w:rPr>
              <w:t>- консультаций  -45</w:t>
            </w:r>
            <w:r w:rsidR="00B17AA6"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F668FF" w:rsidRDefault="00F668FF" w:rsidP="00B17AA6">
            <w:pPr>
              <w:pStyle w:val="a5"/>
              <w:ind w:left="149" w:firstLine="0"/>
              <w:rPr>
                <w:rFonts w:eastAsia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- семинаров и мастер-классов -1</w:t>
            </w:r>
            <w:r w:rsidR="00B17AA6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08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Услуги по текущему ремонту зданий, приобретение музыкального и звукового оборудования, прочих материальных запасов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B30E3C" w:rsidRDefault="00F668FF" w:rsidP="00B30E3C">
            <w:pPr>
              <w:pStyle w:val="a5"/>
              <w:ind w:left="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Услуги по текущему ремонту зданий, приобретение музыкального и звукового оборудования, прочих материальных запасов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08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</w:t>
            </w: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Ремонтные работы (текущий ремонт) </w:t>
            </w:r>
            <w:r>
              <w:rPr>
                <w:lang w:eastAsia="ru-RU"/>
              </w:rPr>
              <w:lastRenderedPageBreak/>
              <w:t>зданий в муниципальных домов культуры, расположенных в городских поселениях с числом жителей до 50 тысяч человек и (или) в сельских поселениях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Проведение мониторинга удовлетворенности </w:t>
            </w:r>
            <w:r>
              <w:rPr>
                <w:lang w:eastAsia="ru-RU"/>
              </w:rPr>
              <w:lastRenderedPageBreak/>
              <w:t xml:space="preserve">потребителей качеством и доступностью предоставляемых услуг организациями культуры ежеквартально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Проведен текущий и косметический ремонты </w:t>
            </w:r>
            <w:r>
              <w:rPr>
                <w:lang w:eastAsia="ru-RU"/>
              </w:rPr>
              <w:lastRenderedPageBreak/>
              <w:t>Чуровской СИКЦ, Якшур – Бодьинский СИКЦ, Дом Бодья (5 сад)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09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Уплата налога на имущество учреждений культуры Якшур-Бодьинского района.  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color w:val="FF0000"/>
                <w:lang w:eastAsia="ru-RU"/>
              </w:rPr>
            </w:pPr>
            <w:r>
              <w:rPr>
                <w:lang w:eastAsia="ru-RU"/>
              </w:rPr>
              <w:t>Уплата налога на имущество учреждений культуры Якшур-Бодьинского района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Подпрограмма «</w:t>
            </w:r>
            <w:r>
              <w:rPr>
                <w:b/>
                <w:color w:val="000000"/>
                <w:lang w:eastAsia="ru-RU"/>
              </w:rPr>
              <w:t>Развитие местного народного творчества»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Сохранение и развитие  традиционных видов художественных промыслов и ремесел: ткачества, плетение из лозы, инкрустация соломкой, токарно-столярное производство, изготовление изделий из бересты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Количество возрожденных и сохраненных  видов (подвидов) декоративно – прикладного искусства и ремесел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Количество возрожденных и сохраненных  видов (подвидов) декоративно – прикладного искусства и ремесел - 7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Организация и  проведение культурно-массовых мероприятий, в том числе в   области традиционной народной культуры, декоративно-прикладного </w:t>
            </w:r>
            <w:r>
              <w:rPr>
                <w:lang w:eastAsia="ru-RU"/>
              </w:rPr>
              <w:lastRenderedPageBreak/>
              <w:t>искусства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Организация и  проведение культурно-массовых мероприятий, в том числе в   области традиционной народной культуры, декоративно-прикладного искусства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B30E3C" w:rsidRDefault="00F668FF" w:rsidP="00B17AA6">
            <w:pPr>
              <w:pStyle w:val="a5"/>
              <w:ind w:left="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Организовано и проведено культурно-массовых мероприятий, в том числе в   области традиционной народной культуры, декоративно-прикладного искусства - 15</w:t>
            </w:r>
            <w:r w:rsidR="00B17AA6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03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Подпрограмма «Развитие музейного дела»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Общее число посещений музея в отчетном году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посещений  - не менее 10000 чел.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посещений  -</w:t>
            </w:r>
            <w:r w:rsidR="00981D63">
              <w:rPr>
                <w:lang w:eastAsia="ru-RU"/>
              </w:rPr>
              <w:t>12495</w:t>
            </w:r>
            <w:r>
              <w:rPr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Формирование, учёт, хранение, изучение,  и обеспечение сохранности музейных предметов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Количество предметов - до 3564 ед.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Количество предметов -  </w:t>
            </w:r>
            <w:r w:rsidR="00981D63">
              <w:rPr>
                <w:lang w:eastAsia="ru-RU"/>
              </w:rPr>
              <w:t>3670</w:t>
            </w:r>
            <w:r>
              <w:rPr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</w:t>
            </w: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Организация и проведение культурно-массовых мероприятий, экскурсий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Разработка, организация и проведение культурно-массовых мероприятий и экскурсий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Разработано, организовано и проведено культурно-массовых мероприятий и экскурсий - </w:t>
            </w:r>
            <w:r w:rsidR="00981D63">
              <w:rPr>
                <w:lang w:eastAsia="ru-RU"/>
              </w:rPr>
              <w:t>348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</w:t>
            </w: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Экспозиционно-выставочная деятельность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Доля представленных (во всех формах) зрителю музейных предметов в общем количестве музейных предметов составит 34 %</w:t>
            </w:r>
            <w:r>
              <w:rPr>
                <w:lang w:eastAsia="ru-RU"/>
              </w:rPr>
              <w:br/>
              <w:t>Объём передвижного фонда музея для экспонирования произведений культуры и искусства увеличится до 90 единиц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>Доля представленных (во всех формах) зрителю музейных предметов в общем количестве музейных предметов34 % Объём передвижного фонда музея для экспонирования произведений культуры и искусства  90 единиц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3</w:t>
            </w: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района.  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Уплата налога на имущество учреждений культуры Якшур-Бодьинского района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Уплата налога на имущество учреждений культуры Якшур-Бодьинского района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Подпрограмма </w:t>
            </w:r>
            <w:r>
              <w:rPr>
                <w:b/>
                <w:bCs/>
                <w:color w:val="000000"/>
                <w:lang w:eastAsia="ru-RU"/>
              </w:rPr>
              <w:lastRenderedPageBreak/>
              <w:t>«Создание условий для реализации муниципальной программы</w:t>
            </w:r>
            <w:r>
              <w:rPr>
                <w:bCs/>
                <w:color w:val="000000"/>
                <w:lang w:eastAsia="ru-RU"/>
              </w:rPr>
              <w:t>»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Уплата налога на имущество учреждений культуры Якшур-Бодьинского района.  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Уплата налога на имущество учреждений культуры Якшур-Бодьинского района.  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Уплата налога на имущество учреждений культуры Якшур-Бодьинского района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Управление, организация бухгалтерского учеты, методическое обслуживание учреждений культуры Якшур-Бодьинского района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Реализация установленных полномочий (функций) Управление культуры, молодежи и спорта  Администрации муниципального образования «Муниципальный округ Якшур-Бодьинский район Удмуртской Республики»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B30E3C" w:rsidRDefault="00F668FF" w:rsidP="00B30E3C">
            <w:pPr>
              <w:pStyle w:val="a5"/>
              <w:ind w:left="14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Реализация установленных полномочий (функций) Управление культуры, молодежи и спорта  Администрации муниципального образования «Муниципальный округ Якшур-Бодьинский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03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Подготовка   специалистов с высшим образованием для нужд Удмуртской Республики.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Предоставление мер социальной поддержки работникам муниципальных учреждений культуры Якшур-Бодьинского района в виде денежной компенсации расходов по оплате жилых помещений и коммунальных услуг  (отопление, освещение)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B30E3C" w:rsidRDefault="00F668FF" w:rsidP="00B30E3C">
            <w:pPr>
              <w:pStyle w:val="a5"/>
              <w:ind w:left="14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Предоставление мер социальной поддержки работникам муниципальных учреждений культуры Якшур-Бодьинского района в виде денежной компенсации расходов по оплате жилых помещений и коммунальных услуг  (отопление, освещение)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04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Разработка и внедрение системы мотивации и стимулирования работников  муниципальных  учреждений </w:t>
            </w:r>
            <w:r>
              <w:rPr>
                <w:bCs/>
                <w:color w:val="000000"/>
                <w:lang w:eastAsia="ru-RU"/>
              </w:rPr>
              <w:lastRenderedPageBreak/>
              <w:t>культуры на основе заключения эффективных контрактов с руководителями и специалистами   муниципальных учреждений культуры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Якшур-Бодьинское МАУ ИКЦ   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Разработка показателей интенсивности деятельности муниципальных учреждений культуры, их руководителей и работников;</w:t>
            </w:r>
          </w:p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организация работы по заключению эффективных контрактов с работниками муниципальных учреждений культуры;</w:t>
            </w:r>
          </w:p>
          <w:p w:rsidR="00F668FF" w:rsidRDefault="00F668FF">
            <w:pPr>
              <w:suppressAutoHyphens w:val="0"/>
              <w:spacing w:before="40" w:after="4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заключение эффективных контрактов с руководителями муниципальных учреждений культуры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B30E3C" w:rsidRDefault="00F668FF" w:rsidP="00B30E3C">
            <w:pPr>
              <w:pStyle w:val="a5"/>
              <w:ind w:left="149" w:hanging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lastRenderedPageBreak/>
              <w:t>Разработка показателей интенсивности деятельности муниципальных учреждений культуры, их руководителей и работников;</w:t>
            </w:r>
          </w:p>
          <w:p w:rsidR="00F668FF" w:rsidRPr="00B30E3C" w:rsidRDefault="00F668FF" w:rsidP="00B30E3C">
            <w:pPr>
              <w:pStyle w:val="a5"/>
              <w:ind w:left="149" w:hanging="142"/>
              <w:rPr>
                <w:rFonts w:ascii="Times New Roman" w:hAnsi="Times New Roman" w:cs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lastRenderedPageBreak/>
              <w:t>организация работы по заключению эффективных контрактов с работниками муниципальных учреждений культуры;</w:t>
            </w:r>
          </w:p>
          <w:p w:rsidR="00F668FF" w:rsidRDefault="00F668FF" w:rsidP="00B30E3C">
            <w:pPr>
              <w:pStyle w:val="a5"/>
              <w:ind w:left="149" w:hanging="142"/>
              <w:rPr>
                <w:rFonts w:eastAsia="Times New Roman"/>
                <w:lang w:eastAsia="ru-RU"/>
              </w:rPr>
            </w:pPr>
            <w:r w:rsidRPr="00B30E3C">
              <w:rPr>
                <w:rFonts w:ascii="Times New Roman" w:hAnsi="Times New Roman" w:cs="Times New Roman"/>
                <w:lang w:eastAsia="ru-RU"/>
              </w:rPr>
              <w:t>заключение эффективных контрактов с руководителями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ascii="Calibri" w:eastAsia="Calibri" w:hAnsi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Подпрограмма «Сохранение, использование и популяризация объектов культурного наследия»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/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/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/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01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Выявление, учет, изучение объектов культурного наследия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Управление культуры, молодежи и спорта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Выявление на территории муниципального образования «Муниципальный округ Якшур-Бодьинский район Удмуртской Республики» объектов культурного наследия, имеющих историко-культурную ценность: памятников археологии, истории, архитектуры и пр.; - изготовление и установка информационных надписей и обозначений на объекты культурного наследия местного и регионального значения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Pr="008D5C31" w:rsidRDefault="00F668FF" w:rsidP="00981D63">
            <w:pPr>
              <w:suppressAutoHyphens w:val="0"/>
              <w:spacing w:before="40" w:after="4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8D5C31">
              <w:rPr>
                <w:color w:val="000000"/>
                <w:sz w:val="22"/>
                <w:szCs w:val="22"/>
                <w:lang w:eastAsia="ru-RU"/>
              </w:rPr>
              <w:t xml:space="preserve"> «Бодьинский позумент»</w:t>
            </w:r>
            <w:r w:rsidR="00B30E3C" w:rsidRPr="008D5C3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D5C31" w:rsidRPr="008D5C31">
              <w:rPr>
                <w:sz w:val="22"/>
                <w:szCs w:val="22"/>
                <w:shd w:val="clear" w:color="auto" w:fill="FFFFFF"/>
              </w:rPr>
              <w:t>является объектом нематериального этнокультурного достояния Удмуртской Республики, внесенн в Региональный реестр объектов НЭД в 2024 году.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02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Обеспечение сохранности объектов </w:t>
            </w:r>
            <w:r>
              <w:rPr>
                <w:bCs/>
                <w:color w:val="000000"/>
                <w:lang w:eastAsia="ru-RU"/>
              </w:rPr>
              <w:lastRenderedPageBreak/>
              <w:t>культурного наследия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lastRenderedPageBreak/>
              <w:t>Управление культуры, молодежи и спорта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 xml:space="preserve">Проведение работ по сохранению историко-мемориальных объектов, </w:t>
            </w:r>
            <w:r>
              <w:lastRenderedPageBreak/>
              <w:t>первоочередных ремонтно-реставрационных работ на историко-мемориальных объектах, посвященных Великой Отечественной войне и других объектов культурного наследия регионального значения, находящихся в муниципальной собственности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</w:pPr>
            <w:r>
              <w:lastRenderedPageBreak/>
              <w:t xml:space="preserve">Осуществлен косметический ремонт на памятниках и памятных сооружениях, </w:t>
            </w:r>
            <w:r>
              <w:lastRenderedPageBreak/>
              <w:t>посвященных событиям Великой Отечественной войне 1941-1945 годов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03</w:t>
            </w:r>
          </w:p>
        </w:tc>
        <w:tc>
          <w:tcPr>
            <w:tcW w:w="3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Популяризация объектов культурного наследия</w:t>
            </w:r>
          </w:p>
        </w:tc>
        <w:tc>
          <w:tcPr>
            <w:tcW w:w="20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Управление культуры, молодежи и спорта</w:t>
            </w:r>
          </w:p>
        </w:tc>
        <w:tc>
          <w:tcPr>
            <w:tcW w:w="10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10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B30E3C">
            <w:r>
              <w:t>202</w:t>
            </w:r>
            <w:r w:rsidR="00B30E3C">
              <w:t>4</w:t>
            </w:r>
          </w:p>
        </w:tc>
        <w:tc>
          <w:tcPr>
            <w:tcW w:w="26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Издание научно-просветительских, популярных материалов об объектах историко-культурного наследия муниципального образования «Муниципальный округ Якшур-Бодьинский район Удмуртской Республики», организация и проведение научно-практических конференций, посвященных проблемам историко-культурного наследия Якшур-Бодьинского муниципального района, создание тематических страниц в социальных сетях</w:t>
            </w:r>
          </w:p>
        </w:tc>
        <w:tc>
          <w:tcPr>
            <w:tcW w:w="29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jc w:val="both"/>
            </w:pPr>
            <w:r>
              <w:t>Издание научно-просветительских, популярных материалов об объектах историко-культурного наследия муниципального образования «Муниципальный округ Якшур-Бодьинский район Удмуртской Республики», организация и проведение научно-практических конференций, посвященных проблемам историко-культурного наследия Якшур-Бодьинского муниципального района, создание тематических страниц в социальных сетях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</w:tbl>
    <w:p w:rsidR="00F668FF" w:rsidRDefault="00F668FF" w:rsidP="00F668FF"/>
    <w:p w:rsidR="00F668FF" w:rsidRDefault="00F668FF" w:rsidP="00F668FF">
      <w:pPr>
        <w:suppressAutoHyphens w:val="0"/>
        <w:rPr>
          <w:lang w:eastAsia="ru-RU"/>
        </w:rPr>
      </w:pPr>
    </w:p>
    <w:p w:rsidR="00F668FF" w:rsidRDefault="00F668FF" w:rsidP="00F668FF">
      <w:pPr>
        <w:suppressAutoHyphens w:val="0"/>
        <w:rPr>
          <w:lang w:eastAsia="ru-RU"/>
        </w:rPr>
      </w:pPr>
      <w:r>
        <w:br w:type="page"/>
      </w:r>
    </w:p>
    <w:p w:rsidR="00F668FF" w:rsidRDefault="00F668FF" w:rsidP="00F668FF">
      <w:pPr>
        <w:pStyle w:val="1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5. </w:t>
      </w:r>
      <w:hyperlink r:id="rId10" w:history="1">
        <w:r>
          <w:rPr>
            <w:rStyle w:val="a6"/>
            <w:b/>
            <w:sz w:val="24"/>
            <w:szCs w:val="24"/>
          </w:rPr>
          <w:t>Отчет</w:t>
        </w:r>
      </w:hyperlink>
      <w:r>
        <w:rPr>
          <w:b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  <w:r w:rsidR="00B30E3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«Развитие культуры» </w:t>
      </w:r>
    </w:p>
    <w:p w:rsidR="00F668FF" w:rsidRDefault="00B30E3C" w:rsidP="00F668FF">
      <w:pPr>
        <w:suppressAutoHyphens w:val="0"/>
        <w:ind w:right="-882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 итогам 2024</w:t>
      </w:r>
      <w:r w:rsidR="00F668FF">
        <w:rPr>
          <w:b/>
          <w:sz w:val="24"/>
          <w:szCs w:val="24"/>
          <w:lang w:eastAsia="ru-RU"/>
        </w:rPr>
        <w:t xml:space="preserve"> года</w:t>
      </w:r>
    </w:p>
    <w:p w:rsidR="00F668FF" w:rsidRDefault="00F668FF" w:rsidP="00F668FF">
      <w:pPr>
        <w:suppressAutoHyphens w:val="0"/>
        <w:rPr>
          <w:lang w:eastAsia="ru-RU"/>
        </w:rPr>
      </w:pPr>
    </w:p>
    <w:tbl>
      <w:tblPr>
        <w:tblW w:w="15324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1107"/>
        <w:gridCol w:w="683"/>
        <w:gridCol w:w="486"/>
        <w:gridCol w:w="2308"/>
        <w:gridCol w:w="1283"/>
        <w:gridCol w:w="1378"/>
        <w:gridCol w:w="1240"/>
        <w:gridCol w:w="1403"/>
        <w:gridCol w:w="1244"/>
        <w:gridCol w:w="1255"/>
        <w:gridCol w:w="1240"/>
        <w:gridCol w:w="1697"/>
      </w:tblGrid>
      <w:tr w:rsidR="00F668FF" w:rsidTr="00F668FF">
        <w:trPr>
          <w:trHeight w:val="20"/>
          <w:tblHeader/>
        </w:trPr>
        <w:tc>
          <w:tcPr>
            <w:tcW w:w="179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№ п/п</w:t>
            </w:r>
          </w:p>
        </w:tc>
        <w:tc>
          <w:tcPr>
            <w:tcW w:w="23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8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4021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Темп роста (снижения) к уровню прошлого года, %</w:t>
            </w:r>
            <w:r>
              <w:rPr>
                <w:rStyle w:val="ad"/>
              </w:rPr>
              <w:footnoteReference w:id="2"/>
            </w:r>
          </w:p>
        </w:tc>
        <w:tc>
          <w:tcPr>
            <w:tcW w:w="16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F668FF" w:rsidTr="00F668FF">
        <w:trPr>
          <w:trHeight w:val="264"/>
          <w:tblHeader/>
        </w:trPr>
        <w:tc>
          <w:tcPr>
            <w:tcW w:w="247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04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План на отчетный год</w:t>
            </w:r>
          </w:p>
        </w:tc>
        <w:tc>
          <w:tcPr>
            <w:tcW w:w="14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</w:tr>
      <w:tr w:rsidR="00F668FF" w:rsidTr="00F668FF">
        <w:trPr>
          <w:trHeight w:val="20"/>
          <w:tblHeader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МП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Пп</w:t>
            </w:r>
          </w:p>
        </w:tc>
        <w:tc>
          <w:tcPr>
            <w:tcW w:w="4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04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0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  <w:tc>
          <w:tcPr>
            <w:tcW w:w="13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pStyle w:val="1"/>
              <w:spacing w:line="264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Муниципальная программа «Развитие  культуры»</w:t>
            </w:r>
          </w:p>
        </w:tc>
      </w:tr>
      <w:tr w:rsidR="00F668FF" w:rsidTr="00F668FF">
        <w:trPr>
          <w:trHeight w:val="20"/>
        </w:trPr>
        <w:tc>
          <w:tcPr>
            <w:tcW w:w="11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3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b/>
              </w:rPr>
            </w:pPr>
            <w:r>
              <w:rPr>
                <w:b/>
              </w:rPr>
              <w:t>3.1.Развитие библиотечного дела</w:t>
            </w:r>
          </w:p>
        </w:tc>
      </w:tr>
      <w:tr w:rsidR="00F668FF" w:rsidTr="00F668FF">
        <w:trPr>
          <w:trHeight w:val="1032"/>
        </w:trPr>
        <w:tc>
          <w:tcPr>
            <w:tcW w:w="17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r>
              <w:t>Количество библиографических записей в сводном электронном каталоге библиотек России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6,5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4,8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4,8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</w:tr>
      <w:tr w:rsidR="00F668FF" w:rsidTr="00F668FF">
        <w:trPr>
          <w:trHeight w:val="1032"/>
        </w:trPr>
        <w:tc>
          <w:tcPr>
            <w:tcW w:w="17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r>
              <w:t>Доля публичных библиотек, подключенных к информационно-телекоммуникационной сети "Интернет"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95,0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100,0</w:t>
            </w:r>
          </w:p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95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-5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95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</w:tr>
      <w:tr w:rsidR="00F668FF" w:rsidTr="00F668FF">
        <w:trPr>
          <w:trHeight w:val="1032"/>
        </w:trPr>
        <w:tc>
          <w:tcPr>
            <w:tcW w:w="17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143,0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124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r>
              <w:t>150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r>
              <w:t>+26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r>
              <w:t>120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r>
              <w:t>20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3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3.2. Развитие культурно-досуговой деятельности</w:t>
            </w:r>
          </w:p>
        </w:tc>
      </w:tr>
      <w:tr w:rsidR="00F668FF" w:rsidTr="00F668FF">
        <w:trPr>
          <w:trHeight w:val="20"/>
        </w:trPr>
        <w:tc>
          <w:tcPr>
            <w:tcW w:w="17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 xml:space="preserve"> Создание условий для развития внутреннего </w:t>
            </w:r>
            <w:r>
              <w:lastRenderedPageBreak/>
              <w:t xml:space="preserve">познавательного туризма, разработка и осуществление туристических маршрутов 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jc w:val="center"/>
            </w:pPr>
            <w:r>
              <w:lastRenderedPageBreak/>
              <w:t>единиц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8,0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r>
              <w:t>8,0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8,0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Среднее число участников клубных формирований в расчете на 1000 человек населения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jc w:val="center"/>
            </w:pPr>
            <w:r>
              <w:t>человек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668FF" w:rsidRDefault="00F668FF">
            <w:pPr>
              <w:pStyle w:val="a5"/>
              <w:jc w:val="center"/>
              <w:rPr>
                <w:rFonts w:eastAsia="Times New Roman"/>
                <w:lang w:eastAsia="ar-SA"/>
              </w:rPr>
            </w:pPr>
            <w:r>
              <w:t>102, 3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pStyle w:val="a5"/>
              <w:jc w:val="center"/>
              <w:rPr>
                <w:rFonts w:eastAsia="Times New Roman"/>
                <w:lang w:eastAsia="ar-SA"/>
              </w:rPr>
            </w:pPr>
            <w:r>
              <w:t>102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pStyle w:val="a5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107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pStyle w:val="a5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pStyle w:val="a5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pStyle w:val="a5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+5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7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Прирост участников клубных формирований по отношению к базовому значению на 1 января 2018 года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jc w:val="center"/>
            </w:pPr>
            <w:r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668FF" w:rsidRDefault="00F668FF">
            <w:r>
              <w:t>107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E228D9">
            <w:r>
              <w:t>107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109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+2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7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Увеличение посещаемости организаций культуры на 15 процентов по отношению к базовому значению на 1 января 2018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jc w:val="center"/>
            </w:pPr>
            <w:r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668FF" w:rsidRDefault="00E228D9">
            <w:r>
              <w:t>115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E228D9">
            <w:r>
              <w:t>115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120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+4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7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F668FF">
            <w:pPr>
              <w:jc w:val="center"/>
            </w:pPr>
            <w:r>
              <w:t>единиц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668FF" w:rsidRDefault="00F668FF">
            <w: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668FF" w:rsidRDefault="00E228D9">
            <w:r>
              <w:t>2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>
            <w:pPr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E228D9" w:rsidP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highlight w:val="yellow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3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b/>
              </w:rPr>
            </w:pPr>
            <w:r>
              <w:rPr>
                <w:b/>
              </w:rPr>
              <w:t>Подпрограмма «</w:t>
            </w:r>
            <w:r>
              <w:rPr>
                <w:b/>
                <w:color w:val="000000"/>
              </w:rPr>
              <w:t>Развитие местного народного  творчества</w:t>
            </w:r>
            <w:r>
              <w:rPr>
                <w:b/>
              </w:rPr>
              <w:t>»</w:t>
            </w: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  <w:r>
              <w:t xml:space="preserve">Выявление,  изучение, хранение и </w:t>
            </w:r>
            <w:r>
              <w:lastRenderedPageBreak/>
              <w:t>формирование предметов нематериального и материального культурного наследия.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  <w:r>
              <w:rPr>
                <w:color w:val="000000" w:themeColor="text1"/>
              </w:rPr>
              <w:t>единиц.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Количество мероприятий, обеспечивающих сохранение и развитие разнообразных видов и форм материального и нематериального культурного наследия народов, проживающих на территории Якшур-Бодьинского района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 w:themeColor="text1"/>
              </w:rPr>
              <w:t>единиц.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156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  <w:r w:rsidR="00E228D9">
              <w:rPr>
                <w:color w:val="000000"/>
                <w:lang w:eastAsia="ru-RU"/>
              </w:rPr>
              <w:t>8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 w:rsidP="00E228D9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  <w:r w:rsidR="00E228D9">
              <w:rPr>
                <w:color w:val="000000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3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pStyle w:val="ac"/>
              <w:suppressAutoHyphens w:val="0"/>
              <w:spacing w:before="240"/>
              <w:ind w:left="4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Подпрограмма «Развитие музейного дела»</w:t>
            </w: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  <w:r>
              <w:t>Число представленных (во всех формах) музейных предметов за отчетный период в общем количестве предметов основного фонда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  <w:r>
              <w:t>единиц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1240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981D63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1250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981D63">
            <w:r>
              <w:t>1250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t>Увеличение посещаемости музея на одного жителя в год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  <w:r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0,58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0,64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0,64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1,1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spacing w:before="40" w:after="4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3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«</w:t>
            </w:r>
            <w:r>
              <w:rPr>
                <w:b/>
                <w:color w:val="000000"/>
              </w:rPr>
              <w:t>Создание условий для реализации»</w:t>
            </w:r>
          </w:p>
        </w:tc>
      </w:tr>
      <w:tr w:rsidR="00F668FF" w:rsidTr="00F668FF">
        <w:trPr>
          <w:trHeight w:val="2457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pStyle w:val="ac"/>
              <w:tabs>
                <w:tab w:val="left" w:pos="0"/>
              </w:tabs>
              <w:suppressAutoHyphens w:val="0"/>
              <w:spacing w:before="240"/>
              <w:ind w:left="0" w:firstLine="41"/>
              <w:rPr>
                <w:color w:val="000000"/>
              </w:rPr>
            </w:pPr>
            <w:r>
              <w:rPr>
                <w:color w:val="000000"/>
              </w:rPr>
              <w:t>Соотношение числа специалистов отрасли «культура», прошедших аттестацию, переподготовку и повышение квалификации, из общего числа специалистов отрасли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  <w:r>
              <w:rPr>
                <w:color w:val="000000"/>
              </w:rPr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15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r>
              <w:rPr>
                <w:color w:val="000000"/>
              </w:rPr>
              <w:t>Соотношение числа специалистов отрасли «культура» в возрасте до 35 лет, руководителей учреждений и резерва руководящих кадров в возрасте до 45 лет из общего числа специалистов отрасли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  <w:r>
              <w:rPr>
                <w:color w:val="000000"/>
              </w:rPr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03</w:t>
            </w: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6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  <w:tc>
          <w:tcPr>
            <w:tcW w:w="13048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Подпрограмма «Сохранение, использование и популяризация объектов культурного наследия»</w:t>
            </w:r>
          </w:p>
        </w:tc>
      </w:tr>
      <w:tr w:rsidR="00F668FF" w:rsidTr="00F668FF">
        <w:trPr>
          <w:trHeight w:val="20"/>
        </w:trPr>
        <w:tc>
          <w:tcPr>
            <w:tcW w:w="11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suppressAutoHyphens w:val="0"/>
              <w:rPr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  <w:tc>
          <w:tcPr>
            <w:tcW w:w="23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объектов культурного наследия, находящихся в муниципальной собственности и требующих консервации или реставрации, в общем </w:t>
            </w:r>
            <w:r>
              <w:rPr>
                <w:color w:val="000000"/>
              </w:rPr>
              <w:lastRenderedPageBreak/>
              <w:t>количестве объектов культурного наследия, находящихся в муниципальной собственности</w:t>
            </w:r>
          </w:p>
        </w:tc>
        <w:tc>
          <w:tcPr>
            <w:tcW w:w="1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процентов</w:t>
            </w:r>
          </w:p>
        </w:tc>
        <w:tc>
          <w:tcPr>
            <w:tcW w:w="13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668FF" w:rsidRDefault="00F668FF">
            <w:pPr>
              <w:suppressAutoHyphens w:val="0"/>
              <w:spacing w:before="40" w:after="40"/>
              <w:rPr>
                <w:color w:val="000000"/>
                <w:lang w:eastAsia="ru-RU"/>
              </w:rPr>
            </w:pPr>
          </w:p>
        </w:tc>
      </w:tr>
    </w:tbl>
    <w:p w:rsidR="00F668FF" w:rsidRDefault="00F668FF" w:rsidP="00F668FF">
      <w:pPr>
        <w:suppressAutoHyphens w:val="0"/>
        <w:rPr>
          <w:lang w:eastAsia="ru-RU"/>
        </w:rPr>
      </w:pPr>
    </w:p>
    <w:p w:rsidR="00F668FF" w:rsidRDefault="00F668FF" w:rsidP="00F668FF">
      <w:pPr>
        <w:suppressAutoHyphens w:val="0"/>
        <w:jc w:val="center"/>
        <w:rPr>
          <w:b/>
          <w:sz w:val="24"/>
          <w:szCs w:val="24"/>
          <w:lang w:eastAsia="ru-RU"/>
        </w:rPr>
      </w:pPr>
      <w:r>
        <w:rPr>
          <w:lang w:eastAsia="ru-RU"/>
        </w:rPr>
        <w:br w:type="page"/>
      </w:r>
      <w:r>
        <w:rPr>
          <w:b/>
          <w:sz w:val="24"/>
          <w:szCs w:val="24"/>
          <w:lang w:eastAsia="ru-RU"/>
        </w:rPr>
        <w:lastRenderedPageBreak/>
        <w:t>Форма 7. Результаты оценки эффективности реализации муниципальной</w:t>
      </w:r>
      <w:r w:rsidR="00981D63"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>программы</w:t>
      </w:r>
      <w:r w:rsidR="00C333A6"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</w:rPr>
        <w:t xml:space="preserve">«Развитие культуры» </w:t>
      </w:r>
    </w:p>
    <w:p w:rsidR="00F668FF" w:rsidRDefault="00F668FF" w:rsidP="00F668FF">
      <w:pPr>
        <w:suppressAutoHyphens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за 202</w:t>
      </w:r>
      <w:r w:rsidR="00981D63">
        <w:rPr>
          <w:b/>
          <w:sz w:val="24"/>
          <w:szCs w:val="24"/>
          <w:lang w:eastAsia="ru-RU"/>
        </w:rPr>
        <w:t>4</w:t>
      </w:r>
      <w:r>
        <w:rPr>
          <w:b/>
          <w:sz w:val="24"/>
          <w:szCs w:val="24"/>
          <w:lang w:eastAsia="ru-RU"/>
        </w:rPr>
        <w:t xml:space="preserve"> год</w:t>
      </w:r>
    </w:p>
    <w:p w:rsidR="00F668FF" w:rsidRDefault="00F668FF" w:rsidP="00F668FF">
      <w:pPr>
        <w:suppressAutoHyphens w:val="0"/>
        <w:rPr>
          <w:lang w:eastAsia="ru-RU"/>
        </w:rPr>
      </w:pPr>
    </w:p>
    <w:tbl>
      <w:tblPr>
        <w:tblW w:w="16008" w:type="dxa"/>
        <w:tblInd w:w="-61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10"/>
        <w:gridCol w:w="567"/>
        <w:gridCol w:w="2319"/>
        <w:gridCol w:w="1675"/>
        <w:gridCol w:w="2818"/>
        <w:gridCol w:w="1700"/>
        <w:gridCol w:w="1542"/>
        <w:gridCol w:w="1435"/>
        <w:gridCol w:w="1621"/>
        <w:gridCol w:w="1621"/>
      </w:tblGrid>
      <w:tr w:rsidR="00F668FF" w:rsidTr="00F668FF">
        <w:tc>
          <w:tcPr>
            <w:tcW w:w="127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Координатор</w:t>
            </w:r>
          </w:p>
        </w:tc>
        <w:tc>
          <w:tcPr>
            <w:tcW w:w="281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F668FF" w:rsidTr="00F668FF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Пп</w:t>
            </w:r>
          </w:p>
        </w:tc>
        <w:tc>
          <w:tcPr>
            <w:tcW w:w="23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C333A6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9pt;height:11.6pt" equationxml="&lt;">
                  <v:imagedata r:id="rId11" o:title="" chromakey="white"/>
                </v:shape>
              </w:pic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en-US"/>
              </w:rPr>
              <w:t>СДцп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en-US"/>
              </w:rPr>
              <w:t>СРм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en-US"/>
              </w:rPr>
              <w:t>ССур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en-US"/>
              </w:rPr>
              <w:t>Эис</w:t>
            </w:r>
          </w:p>
        </w:tc>
      </w:tr>
      <w:tr w:rsidR="00F668FF" w:rsidTr="00F668FF">
        <w:trPr>
          <w:trHeight w:val="96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Развитие культуры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Управление культуры, молодежи и спорта Администрации МО «Муниципальный округ Якшур-Бодьинский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1,02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0,98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1,02</w:t>
            </w:r>
          </w:p>
        </w:tc>
      </w:tr>
      <w:tr w:rsidR="00F668FF" w:rsidTr="00F668FF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Развитие библиотечного дела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Управление культуры, молодежи и спорта Администрации МО «Муниципальный округ Якшур-Бодьинский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68FF" w:rsidTr="00F668FF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Развитие культурно-досуговой деятельности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Управление культуры, молодежи и спорта Администрации МО «Муниципальный округ Якшур-Бодьинский район Удмуртской Республики»</w:t>
            </w:r>
          </w:p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Якшур-Бодьинское муниципальное автономное учреждение «Информационно-культурный центр»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68FF" w:rsidTr="00F668FF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Развитие местного народного творчества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 xml:space="preserve">Управление культуры, молодежи и спорта Администрации МО </w:t>
            </w:r>
            <w:r>
              <w:rPr>
                <w:lang w:eastAsia="ru-RU"/>
              </w:rPr>
              <w:lastRenderedPageBreak/>
              <w:t>«Муниципальный округ Якшур-Бодьинский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68FF" w:rsidTr="00F668FF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Развитие музейного дела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Управление культуры, молодежи и спорта Администрации МО «Муниципальный округ Якшур-Бодьинский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68FF" w:rsidTr="00F668FF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Создание условий для реализации муниципальной программы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Управление культуры, молодежи и спорта Администрации МО «Муниципальный округ Якшур-Бодьинский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1 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668FF" w:rsidTr="00F668FF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3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b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Управление культуры, молодежи и спорта Администрации МО «Муниципальный округ Якшур-Бодьинский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0,67</w:t>
            </w:r>
          </w:p>
        </w:tc>
        <w:tc>
          <w:tcPr>
            <w:tcW w:w="15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0,67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68FF" w:rsidRDefault="00F668FF">
            <w:pPr>
              <w:tabs>
                <w:tab w:val="left" w:pos="1134"/>
              </w:tabs>
              <w:suppressAutoHyphens w:val="0"/>
              <w:spacing w:before="40" w:after="40"/>
              <w:jc w:val="both"/>
              <w:rPr>
                <w:lang w:eastAsia="ru-RU"/>
              </w:rPr>
            </w:pPr>
            <w:r>
              <w:rPr>
                <w:lang w:eastAsia="ru-RU"/>
              </w:rPr>
              <w:t>0,67</w:t>
            </w:r>
          </w:p>
        </w:tc>
      </w:tr>
    </w:tbl>
    <w:p w:rsidR="00F668FF" w:rsidRDefault="00F668FF" w:rsidP="00F668FF">
      <w:pPr>
        <w:rPr>
          <w:lang w:eastAsia="ru-RU"/>
        </w:rPr>
      </w:pPr>
    </w:p>
    <w:p w:rsidR="00180CA3" w:rsidRDefault="00180CA3"/>
    <w:sectPr w:rsidR="00180CA3" w:rsidSect="00F668F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1A3" w:rsidRDefault="005D21A3" w:rsidP="00F668FF">
      <w:r>
        <w:separator/>
      </w:r>
    </w:p>
  </w:endnote>
  <w:endnote w:type="continuationSeparator" w:id="1">
    <w:p w:rsidR="005D21A3" w:rsidRDefault="005D21A3" w:rsidP="00F66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1A3" w:rsidRDefault="005D21A3" w:rsidP="00F668FF">
      <w:r>
        <w:separator/>
      </w:r>
    </w:p>
  </w:footnote>
  <w:footnote w:type="continuationSeparator" w:id="1">
    <w:p w:rsidR="005D21A3" w:rsidRDefault="005D21A3" w:rsidP="00F668FF">
      <w:r>
        <w:continuationSeparator/>
      </w:r>
    </w:p>
  </w:footnote>
  <w:footnote w:id="2">
    <w:p w:rsidR="00C67EB5" w:rsidRDefault="00C67EB5" w:rsidP="00F668FF">
      <w:pPr>
        <w:pStyle w:val="a7"/>
        <w:rPr>
          <w:sz w:val="16"/>
          <w:szCs w:val="16"/>
        </w:rPr>
      </w:pPr>
      <w:r>
        <w:rPr>
          <w:rStyle w:val="ad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  <w:p w:rsidR="00C67EB5" w:rsidRDefault="00C67EB5" w:rsidP="00F668FF">
      <w:pPr>
        <w:pStyle w:val="a7"/>
        <w:rPr>
          <w:sz w:val="16"/>
          <w:szCs w:val="16"/>
        </w:rPr>
      </w:pPr>
    </w:p>
    <w:p w:rsidR="00C67EB5" w:rsidRDefault="00C67EB5" w:rsidP="00F668FF">
      <w:pPr>
        <w:pStyle w:val="a7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  <w:lang w:val="ru-RU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24"/>
        <w:szCs w:val="24"/>
        <w:lang w:val="ru-RU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4"/>
        <w:szCs w:val="24"/>
        <w:lang w:val="ru-RU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  <w:lang w:val="ru-RU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  <w:lang w:val="ru-RU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  <w:lang w:val="ru-RU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  <w:lang w:val="ru-RU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4"/>
        <w:szCs w:val="24"/>
        <w:lang w:val="ru-RU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4"/>
        <w:szCs w:val="24"/>
        <w:lang w:val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8FF"/>
    <w:rsid w:val="000D742B"/>
    <w:rsid w:val="00153171"/>
    <w:rsid w:val="00180CA3"/>
    <w:rsid w:val="001A324E"/>
    <w:rsid w:val="00235021"/>
    <w:rsid w:val="002719A0"/>
    <w:rsid w:val="005307E4"/>
    <w:rsid w:val="005D21A3"/>
    <w:rsid w:val="006873A1"/>
    <w:rsid w:val="006C1C21"/>
    <w:rsid w:val="0073558E"/>
    <w:rsid w:val="00760253"/>
    <w:rsid w:val="007D11E2"/>
    <w:rsid w:val="007F6410"/>
    <w:rsid w:val="008D5C31"/>
    <w:rsid w:val="0097564B"/>
    <w:rsid w:val="00981D63"/>
    <w:rsid w:val="009C08DC"/>
    <w:rsid w:val="00A05815"/>
    <w:rsid w:val="00A82BB4"/>
    <w:rsid w:val="00AC7942"/>
    <w:rsid w:val="00B17AA6"/>
    <w:rsid w:val="00B30E3C"/>
    <w:rsid w:val="00C333A6"/>
    <w:rsid w:val="00C67EB5"/>
    <w:rsid w:val="00CD3AB6"/>
    <w:rsid w:val="00E228D9"/>
    <w:rsid w:val="00E44C50"/>
    <w:rsid w:val="00F6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F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668FF"/>
    <w:pPr>
      <w:keepNext/>
      <w:suppressAutoHyphens w:val="0"/>
      <w:ind w:firstLine="708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CD3AB6"/>
    <w:rPr>
      <w:b/>
      <w:bCs/>
    </w:rPr>
  </w:style>
  <w:style w:type="character" w:styleId="a4">
    <w:name w:val="Emphasis"/>
    <w:basedOn w:val="a0"/>
    <w:uiPriority w:val="20"/>
    <w:qFormat/>
    <w:rsid w:val="00CD3AB6"/>
    <w:rPr>
      <w:i/>
      <w:iCs/>
    </w:rPr>
  </w:style>
  <w:style w:type="paragraph" w:styleId="a5">
    <w:name w:val="No Spacing"/>
    <w:uiPriority w:val="1"/>
    <w:qFormat/>
    <w:rsid w:val="00CD3AB6"/>
    <w:pPr>
      <w:ind w:left="714" w:hanging="357"/>
    </w:pPr>
  </w:style>
  <w:style w:type="character" w:styleId="a6">
    <w:name w:val="Hyperlink"/>
    <w:basedOn w:val="a0"/>
    <w:uiPriority w:val="99"/>
    <w:semiHidden/>
    <w:unhideWhenUsed/>
    <w:rsid w:val="00F668FF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F668FF"/>
    <w:pPr>
      <w:suppressAutoHyphens w:val="0"/>
    </w:pPr>
    <w:rPr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F668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F668FF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Balloon Text"/>
    <w:basedOn w:val="a"/>
    <w:link w:val="a9"/>
    <w:uiPriority w:val="99"/>
    <w:semiHidden/>
    <w:unhideWhenUsed/>
    <w:rsid w:val="00F668FF"/>
    <w:rPr>
      <w:rFonts w:ascii="Tahoma" w:hAnsi="Tahoma" w:cs="Tahoma"/>
      <w:sz w:val="16"/>
      <w:szCs w:val="16"/>
    </w:rPr>
  </w:style>
  <w:style w:type="character" w:customStyle="1" w:styleId="ab">
    <w:name w:val="Абзац списка Знак"/>
    <w:link w:val="ac"/>
    <w:uiPriority w:val="99"/>
    <w:locked/>
    <w:rsid w:val="00F668FF"/>
    <w:rPr>
      <w:rFonts w:ascii="Times New Roman" w:eastAsia="Times New Roman" w:hAnsi="Times New Roman" w:cs="Times New Roman"/>
      <w:lang w:eastAsia="ar-SA"/>
    </w:rPr>
  </w:style>
  <w:style w:type="paragraph" w:styleId="ac">
    <w:name w:val="List Paragraph"/>
    <w:basedOn w:val="a"/>
    <w:link w:val="ab"/>
    <w:uiPriority w:val="99"/>
    <w:qFormat/>
    <w:rsid w:val="00F668FF"/>
    <w:pPr>
      <w:ind w:left="720"/>
      <w:contextualSpacing/>
    </w:pPr>
    <w:rPr>
      <w:sz w:val="22"/>
      <w:szCs w:val="22"/>
    </w:rPr>
  </w:style>
  <w:style w:type="paragraph" w:customStyle="1" w:styleId="ConsPlusNormal">
    <w:name w:val="ConsPlusNormal"/>
    <w:rsid w:val="00F668FF"/>
    <w:pPr>
      <w:widowControl w:val="0"/>
      <w:suppressAutoHyphens/>
      <w:overflowPunct w:val="0"/>
      <w:spacing w:line="100" w:lineRule="atLeast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character" w:customStyle="1" w:styleId="ListParagraphChar">
    <w:name w:val="List Paragraph Char"/>
    <w:link w:val="11"/>
    <w:locked/>
    <w:rsid w:val="00F668FF"/>
    <w:rPr>
      <w:rFonts w:ascii="Times New Roman" w:hAnsi="Times New Roman" w:cs="Times New Roman"/>
      <w:sz w:val="24"/>
      <w:lang w:eastAsia="ar-SA"/>
    </w:rPr>
  </w:style>
  <w:style w:type="paragraph" w:customStyle="1" w:styleId="11">
    <w:name w:val="Абзац списка1"/>
    <w:basedOn w:val="a"/>
    <w:link w:val="ListParagraphChar"/>
    <w:rsid w:val="00F668FF"/>
    <w:pPr>
      <w:suppressAutoHyphens w:val="0"/>
      <w:spacing w:before="240"/>
      <w:ind w:left="720"/>
    </w:pPr>
    <w:rPr>
      <w:rFonts w:eastAsiaTheme="minorHAnsi"/>
      <w:sz w:val="24"/>
      <w:szCs w:val="22"/>
    </w:rPr>
  </w:style>
  <w:style w:type="character" w:styleId="ad">
    <w:name w:val="footnote reference"/>
    <w:uiPriority w:val="99"/>
    <w:semiHidden/>
    <w:unhideWhenUsed/>
    <w:rsid w:val="00F668F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mauiktsbod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82B2-5D03-45AB-B275-CC0F1CA6E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18</Pages>
  <Words>3424</Words>
  <Characters>19520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user-m8</cp:lastModifiedBy>
  <cp:revision>8</cp:revision>
  <cp:lastPrinted>2025-03-03T11:46:00Z</cp:lastPrinted>
  <dcterms:created xsi:type="dcterms:W3CDTF">2025-03-03T09:37:00Z</dcterms:created>
  <dcterms:modified xsi:type="dcterms:W3CDTF">2025-03-04T05:41:00Z</dcterms:modified>
</cp:coreProperties>
</file>