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58246E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14 февраля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58246E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85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C74FF2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70E38" w:rsidRDefault="002E4172" w:rsidP="006C0EA9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31736A" w:rsidP="001D7443">
            <w:r>
              <w:t>2</w:t>
            </w:r>
          </w:p>
        </w:tc>
      </w:tr>
      <w:tr w:rsidR="000F203C" w:rsidTr="000F203C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03C" w:rsidRDefault="000F203C" w:rsidP="000F203C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03C" w:rsidRPr="00170E38" w:rsidRDefault="00307F3E" w:rsidP="00307F3E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Постановление А</w:t>
            </w:r>
            <w:r w:rsidR="0031736A"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>дминистраци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</w:t>
            </w:r>
            <w:r w:rsidR="0031736A"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="0031736A"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="0031736A"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</w:t>
            </w:r>
            <w:r w:rsidR="0031736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№163 от 12.02.2024 «</w:t>
            </w:r>
            <w:r w:rsidR="0031736A"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О внесении изменений в Положение о мотивации участников проектной деятельности в муниципальном образовании «Муниципальный округ </w:t>
            </w:r>
            <w:proofErr w:type="spellStart"/>
            <w:r w:rsidR="0031736A"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="0031736A"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Республики», утвержденное постановлением Администрации муниципального образования «Муниципальный округ </w:t>
            </w:r>
            <w:proofErr w:type="spellStart"/>
            <w:r w:rsidR="0031736A"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="0031736A"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от 12.01.2023 года № 17</w:t>
            </w:r>
            <w:r w:rsidR="0031736A">
              <w:rPr>
                <w:rFonts w:ascii="Bookman Old Style" w:hAnsi="Bookman Old Style"/>
                <w:sz w:val="23"/>
                <w:szCs w:val="23"/>
                <w:lang w:eastAsia="ru-RU"/>
              </w:rPr>
              <w:t>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03C" w:rsidRDefault="0031736A" w:rsidP="000F203C">
            <w:r>
              <w:t>3-8</w:t>
            </w:r>
          </w:p>
        </w:tc>
      </w:tr>
      <w:tr w:rsidR="00307F3E" w:rsidTr="00307F3E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07F3E" w:rsidRDefault="00307F3E" w:rsidP="00307F3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07F3E" w:rsidRPr="00170E38" w:rsidRDefault="00307F3E" w:rsidP="001E7244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Постановление Администрации</w:t>
            </w:r>
            <w:r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№184 от 13.02.2024 «</w:t>
            </w:r>
            <w:r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>О внесении изменений в Положение о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б оплате труда работников муниципальных учреждений,</w:t>
            </w:r>
            <w:r w:rsidR="001E7244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подведомственных Управлению народного образования </w:t>
            </w:r>
            <w:r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="001E7244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Администрации муниципального образования </w:t>
            </w:r>
            <w:r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«Муниципальный округ </w:t>
            </w:r>
            <w:proofErr w:type="spellStart"/>
            <w:r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</w:t>
            </w:r>
            <w:r w:rsidR="001E7244">
              <w:rPr>
                <w:rFonts w:ascii="Bookman Old Style" w:hAnsi="Bookman Old Style"/>
                <w:sz w:val="23"/>
                <w:szCs w:val="23"/>
                <w:lang w:eastAsia="ru-RU"/>
              </w:rPr>
              <w:t>й</w:t>
            </w:r>
            <w:proofErr w:type="spellEnd"/>
            <w:r w:rsidR="001E7244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07F3E" w:rsidRDefault="001E7244" w:rsidP="00307F3E">
            <w:r>
              <w:t>9-12</w:t>
            </w:r>
          </w:p>
        </w:tc>
      </w:tr>
      <w:tr w:rsidR="00C50DB3" w:rsidTr="00C50DB3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DB3" w:rsidRDefault="00C50DB3" w:rsidP="00C50DB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DB3" w:rsidRPr="00170E38" w:rsidRDefault="00C50DB3" w:rsidP="00C50DB3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Постановление Администрации</w:t>
            </w:r>
            <w:r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31736A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№164 от 12.02.2024 «</w:t>
            </w:r>
            <w:r w:rsidRPr="00C50DB3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О реализации мер по ограничению роста платы граждан за коммунальные услуги в 2024 году на территории муниципального образования «Муниципальный округ </w:t>
            </w:r>
            <w:proofErr w:type="spellStart"/>
            <w:r w:rsidRPr="00C50DB3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C50DB3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0DB3" w:rsidRDefault="00C50DB3" w:rsidP="00C50DB3"/>
        </w:tc>
      </w:tr>
    </w:tbl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2E4172" w:rsidRPr="002E4172" w:rsidRDefault="002E4172" w:rsidP="002E4172">
      <w:pPr>
        <w:ind w:firstLine="709"/>
        <w:jc w:val="both"/>
        <w:rPr>
          <w:sz w:val="28"/>
          <w:szCs w:val="28"/>
        </w:rPr>
      </w:pPr>
      <w:r w:rsidRPr="002E4172">
        <w:rPr>
          <w:sz w:val="28"/>
          <w:szCs w:val="28"/>
        </w:rPr>
        <w:lastRenderedPageBreak/>
        <w:t xml:space="preserve">                                        Извещение</w:t>
      </w:r>
    </w:p>
    <w:p w:rsidR="002E4172" w:rsidRPr="002E4172" w:rsidRDefault="002E4172" w:rsidP="002E4172">
      <w:pPr>
        <w:tabs>
          <w:tab w:val="left" w:pos="10459"/>
        </w:tabs>
        <w:ind w:firstLine="709"/>
        <w:jc w:val="both"/>
        <w:rPr>
          <w:bCs/>
          <w:sz w:val="28"/>
          <w:szCs w:val="28"/>
        </w:rPr>
      </w:pPr>
      <w:r w:rsidRPr="002E4172">
        <w:rPr>
          <w:bCs/>
          <w:sz w:val="28"/>
          <w:szCs w:val="28"/>
        </w:rPr>
        <w:t xml:space="preserve">     </w:t>
      </w:r>
    </w:p>
    <w:p w:rsidR="002E4172" w:rsidRPr="002E4172" w:rsidRDefault="002E4172" w:rsidP="002E4172">
      <w:pPr>
        <w:ind w:firstLine="709"/>
        <w:jc w:val="both"/>
        <w:rPr>
          <w:sz w:val="28"/>
          <w:szCs w:val="28"/>
        </w:rPr>
      </w:pPr>
      <w:r w:rsidRPr="002E4172">
        <w:rPr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2E4172">
        <w:rPr>
          <w:sz w:val="28"/>
          <w:szCs w:val="28"/>
        </w:rPr>
        <w:t>Якшур-Бодьинский</w:t>
      </w:r>
      <w:proofErr w:type="spellEnd"/>
      <w:r w:rsidRPr="002E4172">
        <w:rPr>
          <w:sz w:val="28"/>
          <w:szCs w:val="28"/>
        </w:rPr>
        <w:t xml:space="preserve"> район Удмуртской Республики» извещает о возможности предоставления земельного участка в аренду:</w:t>
      </w:r>
    </w:p>
    <w:p w:rsidR="002E4172" w:rsidRPr="002E4172" w:rsidRDefault="002E4172" w:rsidP="002E4172">
      <w:pPr>
        <w:ind w:firstLine="709"/>
        <w:jc w:val="both"/>
        <w:rPr>
          <w:sz w:val="28"/>
          <w:szCs w:val="28"/>
        </w:rPr>
      </w:pPr>
    </w:p>
    <w:p w:rsidR="002E4172" w:rsidRPr="002E4172" w:rsidRDefault="002E4172" w:rsidP="002E4172">
      <w:pPr>
        <w:ind w:firstLine="709"/>
        <w:jc w:val="both"/>
        <w:rPr>
          <w:sz w:val="28"/>
          <w:szCs w:val="28"/>
        </w:rPr>
      </w:pPr>
      <w:r w:rsidRPr="002E4172">
        <w:rPr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2E4172" w:rsidRPr="002E4172" w:rsidRDefault="002E4172" w:rsidP="002E4172">
      <w:pPr>
        <w:ind w:firstLine="709"/>
        <w:jc w:val="both"/>
        <w:rPr>
          <w:sz w:val="28"/>
          <w:szCs w:val="28"/>
        </w:rPr>
      </w:pPr>
      <w:r w:rsidRPr="002E4172">
        <w:rPr>
          <w:sz w:val="28"/>
          <w:szCs w:val="28"/>
        </w:rPr>
        <w:t>- земельный участок с кадастровым номером 18:24:013001:ЗУ</w:t>
      </w:r>
      <w:proofErr w:type="gramStart"/>
      <w:r w:rsidRPr="002E4172">
        <w:rPr>
          <w:sz w:val="28"/>
          <w:szCs w:val="28"/>
        </w:rPr>
        <w:t>1</w:t>
      </w:r>
      <w:proofErr w:type="gramEnd"/>
      <w:r w:rsidRPr="002E4172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2E4172">
        <w:rPr>
          <w:sz w:val="28"/>
          <w:szCs w:val="28"/>
        </w:rPr>
        <w:t>Якшур-Бодьинский</w:t>
      </w:r>
      <w:proofErr w:type="spellEnd"/>
      <w:r w:rsidRPr="002E4172">
        <w:rPr>
          <w:sz w:val="28"/>
          <w:szCs w:val="28"/>
        </w:rPr>
        <w:t xml:space="preserve"> район, с.  Якшур-Бодья,          ул. Российская, площадью 1500 </w:t>
      </w:r>
      <w:proofErr w:type="spellStart"/>
      <w:r w:rsidRPr="002E4172">
        <w:rPr>
          <w:sz w:val="28"/>
          <w:szCs w:val="28"/>
        </w:rPr>
        <w:t>кв</w:t>
      </w:r>
      <w:proofErr w:type="gramStart"/>
      <w:r w:rsidRPr="002E4172">
        <w:rPr>
          <w:sz w:val="28"/>
          <w:szCs w:val="28"/>
        </w:rPr>
        <w:t>.м</w:t>
      </w:r>
      <w:proofErr w:type="spellEnd"/>
      <w:proofErr w:type="gramEnd"/>
      <w:r w:rsidRPr="002E4172">
        <w:rPr>
          <w:sz w:val="28"/>
          <w:szCs w:val="28"/>
        </w:rPr>
        <w:t>, с разрешенным использованием: Для индивидуального жилищного строительства (код 2.1).</w:t>
      </w:r>
    </w:p>
    <w:p w:rsidR="002E4172" w:rsidRPr="002E4172" w:rsidRDefault="002E4172" w:rsidP="002E4172">
      <w:pPr>
        <w:ind w:firstLine="709"/>
        <w:jc w:val="both"/>
        <w:rPr>
          <w:sz w:val="28"/>
          <w:szCs w:val="28"/>
        </w:rPr>
      </w:pPr>
    </w:p>
    <w:p w:rsidR="002E4172" w:rsidRPr="002E4172" w:rsidRDefault="002E4172" w:rsidP="002E4172">
      <w:pPr>
        <w:ind w:firstLine="709"/>
        <w:jc w:val="both"/>
        <w:rPr>
          <w:sz w:val="28"/>
          <w:szCs w:val="28"/>
        </w:rPr>
      </w:pPr>
      <w:r w:rsidRPr="002E4172">
        <w:rPr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2E4172">
        <w:rPr>
          <w:sz w:val="28"/>
          <w:szCs w:val="28"/>
        </w:rPr>
        <w:t>Якшур-Бодьинский</w:t>
      </w:r>
      <w:proofErr w:type="spellEnd"/>
      <w:r w:rsidRPr="002E4172">
        <w:rPr>
          <w:sz w:val="28"/>
          <w:szCs w:val="28"/>
        </w:rPr>
        <w:t xml:space="preserve"> район, </w:t>
      </w:r>
      <w:proofErr w:type="gramStart"/>
      <w:r w:rsidRPr="002E4172">
        <w:rPr>
          <w:sz w:val="28"/>
          <w:szCs w:val="28"/>
        </w:rPr>
        <w:t>с</w:t>
      </w:r>
      <w:proofErr w:type="gramEnd"/>
      <w:r w:rsidRPr="002E4172">
        <w:rPr>
          <w:sz w:val="28"/>
          <w:szCs w:val="28"/>
        </w:rPr>
        <w:t xml:space="preserve">. </w:t>
      </w:r>
      <w:proofErr w:type="gramStart"/>
      <w:r w:rsidRPr="002E4172">
        <w:rPr>
          <w:sz w:val="28"/>
          <w:szCs w:val="28"/>
        </w:rPr>
        <w:t>Якшур-Бодья</w:t>
      </w:r>
      <w:proofErr w:type="gramEnd"/>
      <w:r w:rsidRPr="002E4172">
        <w:rPr>
          <w:sz w:val="28"/>
          <w:szCs w:val="28"/>
        </w:rPr>
        <w:t xml:space="preserve">, ул. </w:t>
      </w:r>
      <w:proofErr w:type="spellStart"/>
      <w:r w:rsidRPr="002E4172">
        <w:rPr>
          <w:sz w:val="28"/>
          <w:szCs w:val="28"/>
        </w:rPr>
        <w:t>Пушиной</w:t>
      </w:r>
      <w:proofErr w:type="spellEnd"/>
      <w:r w:rsidRPr="002E4172">
        <w:rPr>
          <w:sz w:val="28"/>
          <w:szCs w:val="28"/>
        </w:rPr>
        <w:t xml:space="preserve">, д. 69, </w:t>
      </w:r>
      <w:proofErr w:type="spellStart"/>
      <w:r w:rsidRPr="002E4172">
        <w:rPr>
          <w:sz w:val="28"/>
          <w:szCs w:val="28"/>
        </w:rPr>
        <w:t>каб</w:t>
      </w:r>
      <w:proofErr w:type="spellEnd"/>
      <w:r w:rsidRPr="002E4172">
        <w:rPr>
          <w:sz w:val="28"/>
          <w:szCs w:val="28"/>
        </w:rPr>
        <w:t>. 38, тел. 8(34162) 4-17-48, лично или посредством почтовой связи на бумажном носителе. Приемные дни с 8.00 до 16.12, обеденный перерыв с 12.00 до 13.00 по местному времени. Дата начала приема заявлений 14 февраля 2024 года с 8.00, окончание приема заявлений 14 марта 2024 года.</w:t>
      </w:r>
    </w:p>
    <w:p w:rsidR="000F203C" w:rsidRPr="002E4172" w:rsidRDefault="000F203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F203C" w:rsidRDefault="000F203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F203C" w:rsidRDefault="000F203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84692D" w:rsidTr="0084692D">
        <w:trPr>
          <w:trHeight w:val="1700"/>
        </w:trPr>
        <w:tc>
          <w:tcPr>
            <w:tcW w:w="4244" w:type="dxa"/>
          </w:tcPr>
          <w:p w:rsidR="0084692D" w:rsidRDefault="0084692D">
            <w:pPr>
              <w:ind w:right="-117"/>
              <w:jc w:val="right"/>
              <w:rPr>
                <w:b/>
                <w:sz w:val="30"/>
                <w:szCs w:val="30"/>
              </w:rPr>
            </w:pPr>
          </w:p>
          <w:p w:rsidR="0084692D" w:rsidRDefault="0084692D">
            <w:pPr>
              <w:ind w:right="-117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  <w:hideMark/>
          </w:tcPr>
          <w:p w:rsidR="0084692D" w:rsidRPr="0004480B" w:rsidRDefault="0084692D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cstheme="minorBidi"/>
                <w:noProof/>
                <w:lang w:eastAsia="ru-RU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84692D" w:rsidRDefault="0084692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692D" w:rsidTr="0084692D">
        <w:tc>
          <w:tcPr>
            <w:tcW w:w="10004" w:type="dxa"/>
            <w:gridSpan w:val="3"/>
          </w:tcPr>
          <w:p w:rsidR="0084692D" w:rsidRDefault="0084692D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84692D" w:rsidRDefault="0084692D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>
              <w:rPr>
                <w:b/>
                <w:sz w:val="26"/>
                <w:szCs w:val="26"/>
              </w:rPr>
              <w:t>Якшур-Бодьинский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84692D" w:rsidRDefault="0084692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4692D" w:rsidTr="0084692D">
        <w:tc>
          <w:tcPr>
            <w:tcW w:w="10004" w:type="dxa"/>
            <w:gridSpan w:val="3"/>
            <w:hideMark/>
          </w:tcPr>
          <w:p w:rsidR="0084692D" w:rsidRDefault="0084692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муниципал округ» муниципал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84692D" w:rsidRDefault="0084692D" w:rsidP="0084692D">
      <w:pPr>
        <w:rPr>
          <w:sz w:val="20"/>
          <w:szCs w:val="20"/>
        </w:rPr>
      </w:pPr>
    </w:p>
    <w:p w:rsidR="0084692D" w:rsidRDefault="0084692D" w:rsidP="0084692D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84692D" w:rsidRDefault="0084692D" w:rsidP="0084692D">
      <w:pPr>
        <w:jc w:val="center"/>
        <w:rPr>
          <w:b/>
          <w:sz w:val="28"/>
          <w:szCs w:val="28"/>
        </w:rPr>
      </w:pPr>
    </w:p>
    <w:p w:rsidR="0084692D" w:rsidRDefault="0084692D" w:rsidP="0084692D">
      <w:pPr>
        <w:rPr>
          <w:rFonts w:eastAsia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 12 »  февраля 2024 года                                                           № 163</w:t>
      </w:r>
    </w:p>
    <w:p w:rsidR="0084692D" w:rsidRDefault="0084692D" w:rsidP="008469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Якшур-Бодья</w:t>
      </w:r>
    </w:p>
    <w:p w:rsidR="0084692D" w:rsidRDefault="0084692D" w:rsidP="0084692D">
      <w:pPr>
        <w:jc w:val="center"/>
        <w:rPr>
          <w:b/>
          <w:sz w:val="28"/>
          <w:szCs w:val="28"/>
          <w:lang w:eastAsia="en-US"/>
        </w:rPr>
      </w:pPr>
    </w:p>
    <w:p w:rsidR="0084692D" w:rsidRDefault="0084692D" w:rsidP="00846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мотивации участников проектной деятельности в муниципальном образовании «Муниципальный округ </w:t>
      </w:r>
      <w:proofErr w:type="spellStart"/>
      <w:r>
        <w:rPr>
          <w:b/>
          <w:sz w:val="28"/>
          <w:szCs w:val="28"/>
        </w:rPr>
        <w:t>Якшур-Бодьинский</w:t>
      </w:r>
      <w:proofErr w:type="spellEnd"/>
      <w:r>
        <w:rPr>
          <w:b/>
          <w:sz w:val="28"/>
          <w:szCs w:val="28"/>
        </w:rPr>
        <w:t xml:space="preserve"> район Удмуртской Республики», утвержденное постановлением Администрации муниципального образования «Муниципальный округ </w:t>
      </w:r>
      <w:proofErr w:type="spellStart"/>
      <w:r>
        <w:rPr>
          <w:b/>
          <w:sz w:val="28"/>
          <w:szCs w:val="28"/>
        </w:rPr>
        <w:t>Якшур-Бодьинский</w:t>
      </w:r>
      <w:proofErr w:type="spellEnd"/>
      <w:r>
        <w:rPr>
          <w:b/>
          <w:sz w:val="28"/>
          <w:szCs w:val="28"/>
        </w:rPr>
        <w:t xml:space="preserve"> район Удмуртской Республики» от 12.01.2023 года № 17</w:t>
      </w:r>
    </w:p>
    <w:p w:rsidR="0084692D" w:rsidRDefault="0084692D" w:rsidP="0084692D">
      <w:pPr>
        <w:jc w:val="center"/>
        <w:rPr>
          <w:b/>
          <w:sz w:val="28"/>
          <w:szCs w:val="28"/>
        </w:rPr>
      </w:pPr>
    </w:p>
    <w:p w:rsidR="0084692D" w:rsidRDefault="0084692D" w:rsidP="0084692D">
      <w:pPr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урегулирования вопросов организации поощрения участников проектной деятельности</w:t>
      </w:r>
      <w:proofErr w:type="gramEnd"/>
      <w:r>
        <w:rPr>
          <w:sz w:val="28"/>
          <w:szCs w:val="28"/>
        </w:rPr>
        <w:t xml:space="preserve"> в муниципальном образовании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Республики», в соответствии со статьями 30, 32, частью 4 статьи 38 Устава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Администрация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</w:t>
      </w:r>
      <w:r>
        <w:rPr>
          <w:b/>
          <w:sz w:val="28"/>
          <w:szCs w:val="28"/>
          <w:u w:val="single"/>
        </w:rPr>
        <w:t>ПОСТАНОВЛЯЕТ:</w:t>
      </w:r>
    </w:p>
    <w:p w:rsidR="0084692D" w:rsidRDefault="0084692D" w:rsidP="0084692D">
      <w:pPr>
        <w:ind w:firstLine="567"/>
        <w:jc w:val="both"/>
        <w:rPr>
          <w:b/>
          <w:sz w:val="28"/>
          <w:szCs w:val="28"/>
          <w:u w:val="single"/>
        </w:rPr>
      </w:pPr>
    </w:p>
    <w:p w:rsidR="0084692D" w:rsidRDefault="0084692D" w:rsidP="008469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мотивации участников проектной деятельности в муниципальном образовании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(далее – Положение), утвержденное постановлением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от 12.01.2023 года № 17, следующие изменения:</w:t>
      </w:r>
    </w:p>
    <w:p w:rsidR="0084692D" w:rsidRDefault="0004480B" w:rsidP="0004480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84692D">
        <w:rPr>
          <w:sz w:val="28"/>
          <w:szCs w:val="28"/>
        </w:rPr>
        <w:t>1) пункт 5.1. раздела 5 Положения дополнить подпунктом:</w:t>
      </w:r>
    </w:p>
    <w:p w:rsidR="0084692D" w:rsidRDefault="0084692D" w:rsidP="0004480B">
      <w:pPr>
        <w:shd w:val="clear" w:color="auto" w:fill="FFFFFF"/>
        <w:tabs>
          <w:tab w:val="left" w:pos="4962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«5.1.1. </w:t>
      </w:r>
      <w:proofErr w:type="gramStart"/>
      <w:r>
        <w:rPr>
          <w:sz w:val="28"/>
          <w:szCs w:val="28"/>
        </w:rPr>
        <w:t xml:space="preserve">Для расчета материального поощрения каждого участника проектной группы специалистами Управления по развитию территории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определяется общий расчетный (базовый) фонд материального поощрения по результатам оценки проекта по критериям в соответствии с таблицей № 2а – для </w:t>
      </w:r>
      <w:r>
        <w:rPr>
          <w:sz w:val="28"/>
          <w:szCs w:val="28"/>
        </w:rPr>
        <w:lastRenderedPageBreak/>
        <w:t xml:space="preserve">проектов, по которым предусмотрено размещение нормативно-правовых актов на официальном сайте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Республики», таблице</w:t>
      </w:r>
      <w:proofErr w:type="gramEnd"/>
      <w:r>
        <w:rPr>
          <w:sz w:val="28"/>
          <w:szCs w:val="28"/>
        </w:rPr>
        <w:t xml:space="preserve"> № 2б – по иным проектам. </w:t>
      </w:r>
    </w:p>
    <w:p w:rsidR="0084692D" w:rsidRDefault="0084692D" w:rsidP="0084692D">
      <w:pPr>
        <w:shd w:val="clear" w:color="auto" w:fill="FFFFFF"/>
        <w:tabs>
          <w:tab w:val="left" w:pos="4962"/>
        </w:tabs>
        <w:ind w:firstLine="708"/>
        <w:jc w:val="right"/>
        <w:textAlignment w:val="baseline"/>
        <w:rPr>
          <w:sz w:val="28"/>
          <w:szCs w:val="28"/>
        </w:rPr>
      </w:pPr>
    </w:p>
    <w:p w:rsidR="0084692D" w:rsidRDefault="0084692D" w:rsidP="0084692D">
      <w:pPr>
        <w:shd w:val="clear" w:color="auto" w:fill="FFFFFF"/>
        <w:tabs>
          <w:tab w:val="left" w:pos="4962"/>
        </w:tabs>
        <w:ind w:firstLine="708"/>
        <w:jc w:val="right"/>
        <w:textAlignment w:val="baseline"/>
        <w:rPr>
          <w:sz w:val="28"/>
          <w:szCs w:val="28"/>
        </w:rPr>
      </w:pPr>
    </w:p>
    <w:p w:rsidR="0084692D" w:rsidRDefault="0084692D" w:rsidP="0084692D">
      <w:pPr>
        <w:shd w:val="clear" w:color="auto" w:fill="FFFFFF"/>
        <w:tabs>
          <w:tab w:val="left" w:pos="4962"/>
        </w:tabs>
        <w:ind w:firstLine="70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Таблица № 2а</w:t>
      </w:r>
    </w:p>
    <w:p w:rsidR="0084692D" w:rsidRDefault="0084692D" w:rsidP="0084692D">
      <w:pPr>
        <w:shd w:val="clear" w:color="auto" w:fill="FFFFFF"/>
        <w:tabs>
          <w:tab w:val="left" w:pos="4962"/>
        </w:tabs>
        <w:ind w:firstLine="70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Оценка проекта по критериям</w:t>
      </w:r>
    </w:p>
    <w:p w:rsidR="0084692D" w:rsidRDefault="0084692D" w:rsidP="0084692D">
      <w:pPr>
        <w:shd w:val="clear" w:color="auto" w:fill="FFFFFF"/>
        <w:tabs>
          <w:tab w:val="left" w:pos="4962"/>
        </w:tabs>
        <w:ind w:firstLine="708"/>
        <w:jc w:val="center"/>
        <w:textAlignment w:val="baseline"/>
        <w:rPr>
          <w:sz w:val="28"/>
          <w:szCs w:val="28"/>
        </w:rPr>
      </w:pPr>
    </w:p>
    <w:p w:rsidR="0084692D" w:rsidRDefault="0084692D" w:rsidP="0084692D">
      <w:pPr>
        <w:shd w:val="clear" w:color="auto" w:fill="FFFFFF"/>
        <w:tabs>
          <w:tab w:val="left" w:pos="4962"/>
        </w:tabs>
        <w:ind w:firstLine="70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Наименование проекта__________________________________________</w:t>
      </w:r>
    </w:p>
    <w:p w:rsidR="0084692D" w:rsidRDefault="0084692D" w:rsidP="0084692D">
      <w:pPr>
        <w:shd w:val="clear" w:color="auto" w:fill="FFFFFF"/>
        <w:tabs>
          <w:tab w:val="left" w:pos="4962"/>
        </w:tabs>
        <w:ind w:firstLine="708"/>
        <w:jc w:val="right"/>
        <w:textAlignment w:val="baseline"/>
        <w:rPr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584"/>
        <w:gridCol w:w="1843"/>
        <w:gridCol w:w="1044"/>
        <w:gridCol w:w="1968"/>
        <w:gridCol w:w="1524"/>
        <w:gridCol w:w="1098"/>
      </w:tblGrid>
      <w:tr w:rsidR="0084692D" w:rsidTr="008469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t>Наименова-ние</w:t>
            </w:r>
            <w:proofErr w:type="spellEnd"/>
            <w:proofErr w:type="gramEnd"/>
            <w:r>
              <w:t xml:space="preserve">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Содержание оценки по критерию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Баллы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 xml:space="preserve">сумма проекта, прошедшего конкурсный отбор, без учета средств бюджета муниципального образования, направленных на </w:t>
            </w:r>
            <w:proofErr w:type="spellStart"/>
            <w:r>
              <w:t>софинансиро-вание</w:t>
            </w:r>
            <w:proofErr w:type="spellEnd"/>
            <w:r>
              <w:t>, руб.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 xml:space="preserve">Доля </w:t>
            </w:r>
            <w:proofErr w:type="spellStart"/>
            <w:proofErr w:type="gramStart"/>
            <w:r>
              <w:t>материаль-ного</w:t>
            </w:r>
            <w:proofErr w:type="spellEnd"/>
            <w:proofErr w:type="gramEnd"/>
            <w:r>
              <w:t xml:space="preserve"> поощрения,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 xml:space="preserve">Общий </w:t>
            </w:r>
            <w:proofErr w:type="gramStart"/>
            <w:r>
              <w:t>расчет-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базо</w:t>
            </w:r>
            <w:proofErr w:type="spellEnd"/>
            <w:r>
              <w:t>-вый) фонд матери-</w:t>
            </w:r>
            <w:proofErr w:type="spellStart"/>
            <w:r>
              <w:t>ального</w:t>
            </w:r>
            <w:proofErr w:type="spellEnd"/>
            <w:r>
              <w:t xml:space="preserve"> </w:t>
            </w:r>
            <w:proofErr w:type="spellStart"/>
            <w:r>
              <w:t>поощре-ния</w:t>
            </w:r>
            <w:proofErr w:type="spellEnd"/>
            <w:r>
              <w:t>, руб.</w:t>
            </w:r>
          </w:p>
        </w:tc>
      </w:tr>
      <w:tr w:rsidR="0084692D" w:rsidTr="0084692D">
        <w:trPr>
          <w:trHeight w:val="70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r>
              <w:t xml:space="preserve">Размещение нормативно-правовых актов </w:t>
            </w:r>
          </w:p>
          <w:p w:rsidR="0084692D" w:rsidRDefault="0084692D">
            <w:pPr>
              <w:rPr>
                <w:lang w:eastAsia="en-US"/>
              </w:rPr>
            </w:pPr>
            <w:r>
              <w:t>на официальном сайте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 xml:space="preserve">Своевременное размещение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Размещение с нарушением сроков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0,7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Не размещены на дату реализации проекта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Наличие дорожной карты по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Имеется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Отсутствует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Соблюдение сроков реализации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Реализация проекта в срок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Реализация проекта с нарушением срока по причине не состоявшихся торгов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r>
              <w:t xml:space="preserve">Реализация проекта с нарушением сроков по </w:t>
            </w:r>
            <w:r>
              <w:lastRenderedPageBreak/>
              <w:t xml:space="preserve">иным причинам </w:t>
            </w:r>
          </w:p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lastRenderedPageBreak/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lastRenderedPageBreak/>
              <w:t>4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r>
              <w:t xml:space="preserve">Размещение информации о жизнедеятельности проекта на странице и в социальных сетях муниципального образования «Муниципальный округ </w:t>
            </w:r>
            <w:proofErr w:type="spellStart"/>
            <w:r>
              <w:t>Якшур-Бодьинский</w:t>
            </w:r>
            <w:proofErr w:type="spellEnd"/>
            <w:r>
              <w:t xml:space="preserve"> район Удмуртской Республики» (от победы до момента реализации)</w:t>
            </w:r>
          </w:p>
          <w:p w:rsidR="0084692D" w:rsidRDefault="0084692D"/>
          <w:p w:rsidR="0084692D" w:rsidRDefault="0084692D"/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r>
              <w:t xml:space="preserve">Размещение информации </w:t>
            </w:r>
            <w:proofErr w:type="gramStart"/>
            <w:r>
              <w:t>о</w:t>
            </w:r>
            <w:proofErr w:type="gramEnd"/>
            <w:r>
              <w:t xml:space="preserve"> всех этапах проекта</w:t>
            </w:r>
          </w:p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 xml:space="preserve">Размещение информации только об одном из этапов проекта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Отсутствие информации об этапах проекта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r>
              <w:t>Создание условий для разной степени участия населения в проекте (интервью, встречи, общественные обсуждения, специальные приложения, опросы, группы в социальных сетях)</w:t>
            </w:r>
          </w:p>
          <w:p w:rsidR="0084692D" w:rsidRDefault="0084692D"/>
          <w:p w:rsidR="0084692D" w:rsidRDefault="0084692D"/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Наличие (офлайн – либо онлай</w:t>
            </w:r>
            <w:proofErr w:type="gramStart"/>
            <w:r>
              <w:t>н-</w:t>
            </w:r>
            <w:proofErr w:type="gramEnd"/>
            <w:r>
              <w:t xml:space="preserve"> форматов взаимодействия)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Отсутствие взаимодействия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r>
              <w:t>Итого:</w:t>
            </w:r>
          </w:p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rPr>
                <w:lang w:eastAsia="en-US"/>
              </w:rPr>
            </w:pPr>
          </w:p>
        </w:tc>
      </w:tr>
    </w:tbl>
    <w:p w:rsidR="0084692D" w:rsidRDefault="0084692D" w:rsidP="0084692D">
      <w:pPr>
        <w:shd w:val="clear" w:color="auto" w:fill="FFFFFF"/>
        <w:tabs>
          <w:tab w:val="left" w:pos="4962"/>
        </w:tabs>
        <w:ind w:firstLine="708"/>
        <w:jc w:val="right"/>
        <w:textAlignment w:val="baseline"/>
        <w:rPr>
          <w:sz w:val="28"/>
          <w:szCs w:val="28"/>
          <w:lang w:eastAsia="en-US"/>
        </w:rPr>
      </w:pPr>
    </w:p>
    <w:p w:rsidR="0084692D" w:rsidRDefault="0084692D" w:rsidP="0084692D">
      <w:pPr>
        <w:shd w:val="clear" w:color="auto" w:fill="FFFFFF"/>
        <w:tabs>
          <w:tab w:val="left" w:pos="4962"/>
        </w:tabs>
        <w:ind w:firstLine="708"/>
        <w:jc w:val="right"/>
        <w:textAlignment w:val="baseline"/>
        <w:rPr>
          <w:sz w:val="28"/>
          <w:szCs w:val="28"/>
        </w:rPr>
      </w:pPr>
    </w:p>
    <w:p w:rsidR="0084692D" w:rsidRDefault="0084692D" w:rsidP="0084692D">
      <w:pPr>
        <w:shd w:val="clear" w:color="auto" w:fill="FFFFFF"/>
        <w:tabs>
          <w:tab w:val="left" w:pos="4962"/>
        </w:tabs>
        <w:ind w:firstLine="70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Таблица № 2б</w:t>
      </w:r>
    </w:p>
    <w:p w:rsidR="0084692D" w:rsidRDefault="0084692D" w:rsidP="0084692D">
      <w:pPr>
        <w:shd w:val="clear" w:color="auto" w:fill="FFFFFF"/>
        <w:tabs>
          <w:tab w:val="left" w:pos="4962"/>
        </w:tabs>
        <w:ind w:firstLine="70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Оценка проекта по критериям</w:t>
      </w:r>
    </w:p>
    <w:p w:rsidR="0084692D" w:rsidRDefault="0084692D" w:rsidP="0084692D">
      <w:pPr>
        <w:shd w:val="clear" w:color="auto" w:fill="FFFFFF"/>
        <w:tabs>
          <w:tab w:val="left" w:pos="4962"/>
        </w:tabs>
        <w:ind w:firstLine="70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Наименование проекта__________________________________________</w:t>
      </w:r>
    </w:p>
    <w:p w:rsidR="0084692D" w:rsidRDefault="0084692D" w:rsidP="0084692D">
      <w:pPr>
        <w:shd w:val="clear" w:color="auto" w:fill="FFFFFF"/>
        <w:tabs>
          <w:tab w:val="left" w:pos="4962"/>
        </w:tabs>
        <w:ind w:firstLine="708"/>
        <w:jc w:val="right"/>
        <w:textAlignment w:val="baseline"/>
        <w:rPr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442"/>
        <w:gridCol w:w="1985"/>
        <w:gridCol w:w="992"/>
        <w:gridCol w:w="1984"/>
        <w:gridCol w:w="1560"/>
        <w:gridCol w:w="1098"/>
      </w:tblGrid>
      <w:tr w:rsidR="0084692D" w:rsidTr="008469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критерия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Содержание оценки по критерию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Баллы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 xml:space="preserve">Сумма проекта, прошедшего конкурсный отбор, без учета средств бюджета муниципального образования, направленных на </w:t>
            </w:r>
            <w:proofErr w:type="spellStart"/>
            <w:r>
              <w:t>софинансирова-ние</w:t>
            </w:r>
            <w:proofErr w:type="spellEnd"/>
            <w:r>
              <w:t>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 xml:space="preserve">Доля </w:t>
            </w:r>
            <w:proofErr w:type="spellStart"/>
            <w:proofErr w:type="gramStart"/>
            <w:r>
              <w:t>материаль-ного</w:t>
            </w:r>
            <w:proofErr w:type="spellEnd"/>
            <w:proofErr w:type="gramEnd"/>
            <w:r>
              <w:t xml:space="preserve"> поощрения,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 xml:space="preserve">Общий </w:t>
            </w:r>
            <w:proofErr w:type="gramStart"/>
            <w:r>
              <w:t>расчет-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базо</w:t>
            </w:r>
            <w:proofErr w:type="spellEnd"/>
            <w:r>
              <w:t>-вый) фонд матери-</w:t>
            </w:r>
            <w:proofErr w:type="spellStart"/>
            <w:r>
              <w:t>ального</w:t>
            </w:r>
            <w:proofErr w:type="spellEnd"/>
            <w:r>
              <w:t xml:space="preserve"> </w:t>
            </w:r>
            <w:proofErr w:type="spellStart"/>
            <w:r>
              <w:t>поощре-ния</w:t>
            </w:r>
            <w:proofErr w:type="spellEnd"/>
            <w:r>
              <w:t>, руб.</w:t>
            </w:r>
          </w:p>
        </w:tc>
      </w:tr>
      <w:tr w:rsidR="0084692D" w:rsidTr="0084692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Наличие дорожной карты по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Соблюдение сроков реализации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Реализация проекта в 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Реализация проекта с нарушением срока по причине не состоявшихся торгов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 xml:space="preserve">Реализация проекта с нарушением сроков по иным причинам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Размещение информации о жизнедеятельности проекта на странице и в социальных сетях муниципального образования «Муниципа</w:t>
            </w:r>
            <w:r>
              <w:lastRenderedPageBreak/>
              <w:t xml:space="preserve">льный округ </w:t>
            </w:r>
            <w:proofErr w:type="spellStart"/>
            <w:r>
              <w:t>Якшур-Бодьинский</w:t>
            </w:r>
            <w:proofErr w:type="spellEnd"/>
            <w:r>
              <w:t xml:space="preserve"> район Удмуртской Республики» (от победы до момента реализации)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lastRenderedPageBreak/>
              <w:t xml:space="preserve">Размещение информации </w:t>
            </w:r>
            <w:proofErr w:type="gramStart"/>
            <w:r>
              <w:t>о</w:t>
            </w:r>
            <w:proofErr w:type="gramEnd"/>
            <w:r>
              <w:t xml:space="preserve"> всех этапах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 xml:space="preserve">Размещение информации только об одном из этапов проекта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Отсутствие информации об этапах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lastRenderedPageBreak/>
              <w:t>4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Создание условий для разной степени участия населения в проекте (интервью, встречи, общественные обсуждения, специальные приложения, опросы, группы в социальных сетях)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Наличие (офлайн – либо онлай</w:t>
            </w:r>
            <w:proofErr w:type="gramStart"/>
            <w:r>
              <w:t>н-</w:t>
            </w:r>
            <w:proofErr w:type="gramEnd"/>
            <w:r>
              <w:t xml:space="preserve"> форматов взаимодействия)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Отсутствие взаимодействия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2D" w:rsidRDefault="0084692D">
            <w:pPr>
              <w:jc w:val="center"/>
              <w:rPr>
                <w:lang w:eastAsia="en-US"/>
              </w:rPr>
            </w:pPr>
            <w:r>
              <w:t>Х</w:t>
            </w:r>
          </w:p>
        </w:tc>
      </w:tr>
      <w:tr w:rsidR="0084692D" w:rsidTr="008469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rPr>
                <w:lang w:eastAsia="en-US"/>
              </w:rPr>
            </w:pPr>
            <w: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rPr>
                <w:lang w:eastAsia="en-US"/>
              </w:rPr>
            </w:pPr>
          </w:p>
        </w:tc>
      </w:tr>
    </w:tbl>
    <w:p w:rsidR="0084692D" w:rsidRDefault="0084692D" w:rsidP="0084692D">
      <w:pPr>
        <w:shd w:val="clear" w:color="auto" w:fill="FFFFFF"/>
        <w:tabs>
          <w:tab w:val="left" w:pos="4962"/>
        </w:tabs>
        <w:ind w:firstLine="708"/>
        <w:jc w:val="both"/>
        <w:textAlignment w:val="baseline"/>
        <w:rPr>
          <w:sz w:val="28"/>
          <w:szCs w:val="28"/>
          <w:lang w:eastAsia="en-US"/>
        </w:rPr>
      </w:pPr>
    </w:p>
    <w:p w:rsidR="0084692D" w:rsidRDefault="0084692D" w:rsidP="0084692D">
      <w:pPr>
        <w:shd w:val="clear" w:color="auto" w:fill="FFFFFF"/>
        <w:tabs>
          <w:tab w:val="left" w:pos="4962"/>
        </w:tabs>
        <w:ind w:firstLine="708"/>
        <w:jc w:val="both"/>
        <w:textAlignment w:val="baseline"/>
      </w:pPr>
      <w:r>
        <w:rPr>
          <w:sz w:val="28"/>
          <w:szCs w:val="28"/>
        </w:rPr>
        <w:t xml:space="preserve">Каждый набранный балл приравнивается 1% доли материального поощрения. </w:t>
      </w:r>
      <w:proofErr w:type="gramStart"/>
      <w:r>
        <w:rPr>
          <w:sz w:val="28"/>
          <w:szCs w:val="28"/>
        </w:rPr>
        <w:t>Исходя из размера доли материального поощрения определяется</w:t>
      </w:r>
      <w:proofErr w:type="gramEnd"/>
      <w:r>
        <w:rPr>
          <w:sz w:val="28"/>
          <w:szCs w:val="28"/>
        </w:rPr>
        <w:t xml:space="preserve"> общий расчетный (базовый) фонд материального поощрения: сумма проекта, прошедшего конкурсный отбор, без учета средств бюджета муниципального образования, направленных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>, умножается на долю материального поощрения. Размер общего расчетного (базового) фонда материального поощрения подлежит округлению до целого рубля в сторону увеличения</w:t>
      </w:r>
      <w:proofErr w:type="gramStart"/>
      <w:r>
        <w:rPr>
          <w:sz w:val="28"/>
          <w:szCs w:val="28"/>
        </w:rPr>
        <w:t xml:space="preserve">.»; </w:t>
      </w:r>
      <w:r>
        <w:t xml:space="preserve">  </w:t>
      </w:r>
      <w:proofErr w:type="gramEnd"/>
    </w:p>
    <w:p w:rsidR="0084692D" w:rsidRDefault="0084692D" w:rsidP="008469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пункт 5.2. раздела 5 Положения изложить в следующей редакции:</w:t>
      </w:r>
    </w:p>
    <w:p w:rsidR="0084692D" w:rsidRDefault="0084692D" w:rsidP="0084692D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tab/>
        <w:t>«</w:t>
      </w:r>
      <w:r>
        <w:rPr>
          <w:sz w:val="28"/>
          <w:szCs w:val="28"/>
        </w:rPr>
        <w:t xml:space="preserve">5.2. На основании оценки участников проектной группы начальник Управления по развитию территории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готовит ходатайство о материальном поощрении участников проектной группы на имя Главы муниципального образования </w:t>
      </w:r>
      <w:r>
        <w:rPr>
          <w:sz w:val="28"/>
          <w:szCs w:val="28"/>
        </w:rPr>
        <w:lastRenderedPageBreak/>
        <w:t xml:space="preserve">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по форме, в соответствии с таблицей № 3.</w:t>
      </w:r>
    </w:p>
    <w:p w:rsidR="0084692D" w:rsidRDefault="0084692D" w:rsidP="0084692D">
      <w:pPr>
        <w:shd w:val="clear" w:color="auto" w:fill="FFFFFF"/>
        <w:ind w:left="284"/>
        <w:jc w:val="right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№ 3</w:t>
      </w:r>
    </w:p>
    <w:p w:rsidR="0084692D" w:rsidRDefault="0084692D" w:rsidP="0084692D">
      <w:pPr>
        <w:shd w:val="clear" w:color="auto" w:fill="FFFFFF"/>
        <w:ind w:left="284"/>
        <w:jc w:val="center"/>
        <w:textAlignment w:val="baseline"/>
        <w:rPr>
          <w:sz w:val="28"/>
          <w:szCs w:val="28"/>
          <w:lang w:eastAsia="ru-RU"/>
        </w:rPr>
      </w:pPr>
    </w:p>
    <w:p w:rsidR="0084692D" w:rsidRDefault="0084692D" w:rsidP="0084692D">
      <w:pPr>
        <w:shd w:val="clear" w:color="auto" w:fill="FFFFFF"/>
        <w:ind w:left="284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Ходатайство о материальном поощрении</w:t>
      </w:r>
      <w:r>
        <w:t xml:space="preserve"> </w:t>
      </w:r>
      <w:r>
        <w:rPr>
          <w:sz w:val="28"/>
          <w:szCs w:val="28"/>
          <w:lang w:eastAsia="ru-RU"/>
        </w:rPr>
        <w:t>участников проектной группы</w:t>
      </w:r>
    </w:p>
    <w:p w:rsidR="0084692D" w:rsidRDefault="0084692D" w:rsidP="0084692D">
      <w:pPr>
        <w:shd w:val="clear" w:color="auto" w:fill="FFFFFF"/>
        <w:ind w:left="284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Наименование проекта_______________________________________</w:t>
      </w:r>
    </w:p>
    <w:p w:rsidR="0084692D" w:rsidRDefault="0084692D" w:rsidP="0084692D">
      <w:pPr>
        <w:shd w:val="clear" w:color="auto" w:fill="FFFFFF"/>
        <w:ind w:left="284"/>
        <w:jc w:val="center"/>
        <w:textAlignment w:val="baseline"/>
        <w:rPr>
          <w:sz w:val="28"/>
          <w:szCs w:val="28"/>
          <w:lang w:eastAsia="ru-RU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894"/>
        <w:gridCol w:w="1477"/>
        <w:gridCol w:w="1342"/>
        <w:gridCol w:w="1474"/>
        <w:gridCol w:w="1615"/>
        <w:gridCol w:w="1202"/>
        <w:gridCol w:w="1424"/>
      </w:tblGrid>
      <w:tr w:rsidR="0084692D" w:rsidTr="0084692D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Ф.И.О. (последнее при наличии)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Замеща-емая</w:t>
            </w:r>
            <w:proofErr w:type="spellEnd"/>
            <w:proofErr w:type="gramEnd"/>
            <w:r>
              <w:rPr>
                <w:lang w:eastAsia="ru-RU"/>
              </w:rPr>
              <w:t xml:space="preserve"> должность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Наименова-ние</w:t>
            </w:r>
            <w:proofErr w:type="spellEnd"/>
            <w:proofErr w:type="gramEnd"/>
            <w:r>
              <w:rPr>
                <w:lang w:eastAsia="ru-RU"/>
              </w:rPr>
              <w:t xml:space="preserve"> роли в проекте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Общий расчетный (базовый) фонд </w:t>
            </w:r>
            <w:proofErr w:type="spellStart"/>
            <w:proofErr w:type="gramStart"/>
            <w:r>
              <w:rPr>
                <w:lang w:eastAsia="ru-RU"/>
              </w:rPr>
              <w:t>материаль-ного</w:t>
            </w:r>
            <w:proofErr w:type="spellEnd"/>
            <w:proofErr w:type="gramEnd"/>
            <w:r>
              <w:rPr>
                <w:lang w:eastAsia="ru-RU"/>
              </w:rPr>
              <w:t xml:space="preserve"> поощрения, руб.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Коэффи-циент</w:t>
            </w:r>
            <w:proofErr w:type="spellEnd"/>
            <w:proofErr w:type="gramEnd"/>
            <w:r>
              <w:rPr>
                <w:lang w:eastAsia="ru-RU"/>
              </w:rPr>
              <w:t xml:space="preserve"> долевого участия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Сумма </w:t>
            </w:r>
            <w:proofErr w:type="gramStart"/>
            <w:r>
              <w:rPr>
                <w:lang w:eastAsia="ru-RU"/>
              </w:rPr>
              <w:t>мате-</w:t>
            </w:r>
            <w:proofErr w:type="spellStart"/>
            <w:r>
              <w:rPr>
                <w:lang w:eastAsia="ru-RU"/>
              </w:rPr>
              <w:t>риального</w:t>
            </w:r>
            <w:proofErr w:type="spellEnd"/>
            <w:proofErr w:type="gramEnd"/>
            <w:r>
              <w:rPr>
                <w:lang w:eastAsia="ru-RU"/>
              </w:rPr>
              <w:t xml:space="preserve"> поощрения, руб.</w:t>
            </w:r>
          </w:p>
        </w:tc>
      </w:tr>
      <w:tr w:rsidR="0084692D" w:rsidTr="0084692D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</w:tr>
      <w:tr w:rsidR="0084692D" w:rsidTr="0084692D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</w:tr>
      <w:tr w:rsidR="0084692D" w:rsidTr="0084692D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</w:tr>
      <w:tr w:rsidR="0084692D" w:rsidTr="0084692D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</w:tr>
      <w:tr w:rsidR="0084692D" w:rsidTr="0084692D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</w:tr>
      <w:tr w:rsidR="0084692D" w:rsidTr="0084692D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2D" w:rsidRDefault="0084692D">
            <w:pPr>
              <w:jc w:val="center"/>
              <w:textAlignment w:val="baseline"/>
              <w:rPr>
                <w:lang w:eastAsia="ru-RU"/>
              </w:rPr>
            </w:pPr>
          </w:p>
        </w:tc>
      </w:tr>
    </w:tbl>
    <w:p w:rsidR="0084692D" w:rsidRDefault="0084692D" w:rsidP="0084692D">
      <w:pPr>
        <w:tabs>
          <w:tab w:val="left" w:pos="709"/>
          <w:tab w:val="left" w:pos="993"/>
        </w:tabs>
        <w:ind w:left="-142" w:firstLine="426"/>
        <w:jc w:val="right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».</w:t>
      </w:r>
    </w:p>
    <w:p w:rsidR="0084692D" w:rsidRDefault="0084692D" w:rsidP="0084692D">
      <w:pPr>
        <w:shd w:val="clear" w:color="auto" w:fill="FFFFFF"/>
        <w:tabs>
          <w:tab w:val="left" w:pos="4962"/>
        </w:tabs>
        <w:ind w:firstLine="708"/>
        <w:textAlignment w:val="baseline"/>
      </w:pPr>
    </w:p>
    <w:p w:rsidR="0084692D" w:rsidRDefault="0084692D" w:rsidP="0084692D">
      <w:pPr>
        <w:shd w:val="clear" w:color="auto" w:fill="FFFFFF"/>
        <w:ind w:left="284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84692D" w:rsidRDefault="0084692D" w:rsidP="0084692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Республики».</w:t>
      </w:r>
    </w:p>
    <w:p w:rsidR="0084692D" w:rsidRDefault="0084692D" w:rsidP="0084692D">
      <w:pPr>
        <w:ind w:firstLine="567"/>
        <w:jc w:val="both"/>
        <w:rPr>
          <w:sz w:val="28"/>
          <w:szCs w:val="28"/>
        </w:rPr>
      </w:pPr>
    </w:p>
    <w:p w:rsidR="0084692D" w:rsidRDefault="0084692D" w:rsidP="0084692D">
      <w:pPr>
        <w:ind w:firstLine="567"/>
        <w:jc w:val="both"/>
        <w:rPr>
          <w:sz w:val="28"/>
          <w:szCs w:val="28"/>
        </w:rPr>
      </w:pPr>
    </w:p>
    <w:p w:rsidR="0084692D" w:rsidRDefault="0084692D" w:rsidP="0084692D">
      <w:pPr>
        <w:ind w:right="99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84692D" w:rsidRDefault="0084692D" w:rsidP="0084692D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«Муниципальный округ </w:t>
      </w:r>
    </w:p>
    <w:p w:rsidR="0084692D" w:rsidRDefault="0084692D" w:rsidP="0084692D">
      <w:pPr>
        <w:tabs>
          <w:tab w:val="left" w:pos="9639"/>
        </w:tabs>
        <w:ind w:right="-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Якшур-Бодьинский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4692D" w:rsidRDefault="0084692D" w:rsidP="0084692D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Удмуртской Республики»                                                           </w:t>
      </w:r>
      <w:proofErr w:type="spellStart"/>
      <w:r>
        <w:rPr>
          <w:b/>
          <w:sz w:val="28"/>
          <w:szCs w:val="28"/>
        </w:rPr>
        <w:t>А.В.Леконцев</w:t>
      </w:r>
      <w:proofErr w:type="spellEnd"/>
    </w:p>
    <w:p w:rsidR="0084692D" w:rsidRDefault="0084692D" w:rsidP="0084692D">
      <w:pPr>
        <w:jc w:val="both"/>
      </w:pPr>
    </w:p>
    <w:p w:rsidR="0084692D" w:rsidRDefault="0084692D" w:rsidP="0084692D">
      <w:pPr>
        <w:jc w:val="both"/>
      </w:pPr>
    </w:p>
    <w:p w:rsidR="0084692D" w:rsidRDefault="0084692D" w:rsidP="0084692D">
      <w:pPr>
        <w:jc w:val="both"/>
        <w:rPr>
          <w:sz w:val="20"/>
          <w:szCs w:val="20"/>
        </w:rPr>
      </w:pPr>
      <w:r>
        <w:rPr>
          <w:sz w:val="20"/>
          <w:szCs w:val="20"/>
        </w:rPr>
        <w:t>Митрофанова Татьяна Геннадьевна</w:t>
      </w:r>
    </w:p>
    <w:p w:rsidR="0084692D" w:rsidRDefault="0084692D" w:rsidP="0084692D">
      <w:pPr>
        <w:jc w:val="both"/>
        <w:rPr>
          <w:rFonts w:eastAsiaTheme="minorHAnsi"/>
          <w:lang w:eastAsia="en-US"/>
        </w:rPr>
      </w:pPr>
      <w:r>
        <w:rPr>
          <w:sz w:val="20"/>
          <w:szCs w:val="20"/>
        </w:rPr>
        <w:t>8(34162)4-10-04</w:t>
      </w: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Pr="00161AC0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1AC0" w:rsidRDefault="00307F3E" w:rsidP="00161AC0">
      <w:pPr>
        <w:tabs>
          <w:tab w:val="left" w:pos="9639"/>
        </w:tabs>
        <w:ind w:right="-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9620" cy="8273455"/>
            <wp:effectExtent l="0" t="0" r="0" b="0"/>
            <wp:docPr id="3" name="Рисунок 3" descr="C:\Users\Nikolaeva_IN\Desktop\работа\184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eva_IN\Desktop\работа\184_0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82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3E" w:rsidRDefault="00307F3E" w:rsidP="00161AC0">
      <w:pPr>
        <w:tabs>
          <w:tab w:val="left" w:pos="9639"/>
        </w:tabs>
        <w:ind w:right="-2"/>
        <w:rPr>
          <w:sz w:val="28"/>
          <w:szCs w:val="28"/>
        </w:rPr>
      </w:pPr>
    </w:p>
    <w:p w:rsidR="00307F3E" w:rsidRDefault="00307F3E" w:rsidP="00161AC0">
      <w:pPr>
        <w:tabs>
          <w:tab w:val="left" w:pos="9639"/>
        </w:tabs>
        <w:ind w:right="-2"/>
        <w:rPr>
          <w:sz w:val="28"/>
          <w:szCs w:val="28"/>
        </w:rPr>
      </w:pPr>
    </w:p>
    <w:p w:rsidR="00307F3E" w:rsidRDefault="00307F3E" w:rsidP="00161AC0">
      <w:pPr>
        <w:tabs>
          <w:tab w:val="left" w:pos="9639"/>
        </w:tabs>
        <w:ind w:right="-2"/>
        <w:rPr>
          <w:sz w:val="28"/>
          <w:szCs w:val="28"/>
        </w:rPr>
      </w:pPr>
    </w:p>
    <w:p w:rsidR="00307F3E" w:rsidRDefault="00307F3E" w:rsidP="00161AC0">
      <w:pPr>
        <w:tabs>
          <w:tab w:val="left" w:pos="9639"/>
        </w:tabs>
        <w:ind w:right="-2"/>
        <w:rPr>
          <w:sz w:val="28"/>
          <w:szCs w:val="28"/>
        </w:rPr>
      </w:pPr>
    </w:p>
    <w:p w:rsidR="00307F3E" w:rsidRDefault="001E7244" w:rsidP="00161AC0">
      <w:pPr>
        <w:tabs>
          <w:tab w:val="left" w:pos="9639"/>
        </w:tabs>
        <w:ind w:right="-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9620" cy="8273455"/>
            <wp:effectExtent l="0" t="0" r="0" b="0"/>
            <wp:docPr id="4" name="Рисунок 4" descr="C:\Users\Nikolaeva_IN\Desktop\работа\18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aeva_IN\Desktop\работа\184_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82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3E" w:rsidRDefault="00307F3E" w:rsidP="00161AC0">
      <w:pPr>
        <w:tabs>
          <w:tab w:val="left" w:pos="9639"/>
        </w:tabs>
        <w:ind w:right="-2"/>
        <w:rPr>
          <w:sz w:val="28"/>
          <w:szCs w:val="28"/>
        </w:rPr>
      </w:pPr>
    </w:p>
    <w:p w:rsidR="00307F3E" w:rsidRDefault="00307F3E" w:rsidP="00161AC0">
      <w:pPr>
        <w:tabs>
          <w:tab w:val="left" w:pos="9639"/>
        </w:tabs>
        <w:ind w:right="-2"/>
        <w:rPr>
          <w:sz w:val="28"/>
          <w:szCs w:val="28"/>
        </w:rPr>
      </w:pPr>
    </w:p>
    <w:p w:rsidR="00307F3E" w:rsidRDefault="00307F3E" w:rsidP="00161AC0">
      <w:pPr>
        <w:tabs>
          <w:tab w:val="left" w:pos="9639"/>
        </w:tabs>
        <w:ind w:right="-2"/>
        <w:rPr>
          <w:sz w:val="28"/>
          <w:szCs w:val="28"/>
        </w:rPr>
      </w:pPr>
    </w:p>
    <w:p w:rsidR="00307F3E" w:rsidRDefault="00307F3E" w:rsidP="00161AC0">
      <w:pPr>
        <w:tabs>
          <w:tab w:val="left" w:pos="9639"/>
        </w:tabs>
        <w:ind w:right="-2"/>
        <w:rPr>
          <w:sz w:val="28"/>
          <w:szCs w:val="28"/>
        </w:rPr>
      </w:pPr>
    </w:p>
    <w:p w:rsidR="00307F3E" w:rsidRDefault="00307F3E" w:rsidP="00161AC0">
      <w:pPr>
        <w:tabs>
          <w:tab w:val="left" w:pos="9639"/>
        </w:tabs>
        <w:ind w:right="-2"/>
        <w:rPr>
          <w:sz w:val="28"/>
          <w:szCs w:val="28"/>
        </w:rPr>
      </w:pPr>
    </w:p>
    <w:p w:rsidR="00307F3E" w:rsidRDefault="001E7244" w:rsidP="00161AC0">
      <w:pPr>
        <w:tabs>
          <w:tab w:val="left" w:pos="9639"/>
        </w:tabs>
        <w:ind w:right="-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49620" cy="8273455"/>
            <wp:effectExtent l="0" t="0" r="0" b="0"/>
            <wp:docPr id="5" name="Рисунок 5" descr="C:\Users\Nikolaeva_IN\Desktop\работа\18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olaeva_IN\Desktop\работа\184_0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82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3E" w:rsidRDefault="00307F3E" w:rsidP="00161AC0">
      <w:pPr>
        <w:tabs>
          <w:tab w:val="left" w:pos="9639"/>
        </w:tabs>
        <w:ind w:right="-2"/>
        <w:rPr>
          <w:sz w:val="28"/>
          <w:szCs w:val="28"/>
        </w:rPr>
      </w:pPr>
    </w:p>
    <w:p w:rsidR="00307F3E" w:rsidRDefault="00307F3E" w:rsidP="00161AC0">
      <w:pPr>
        <w:tabs>
          <w:tab w:val="left" w:pos="9639"/>
        </w:tabs>
        <w:ind w:right="-2"/>
        <w:rPr>
          <w:sz w:val="28"/>
          <w:szCs w:val="28"/>
        </w:rPr>
      </w:pPr>
    </w:p>
    <w:p w:rsidR="00307F3E" w:rsidRDefault="00307F3E" w:rsidP="00161AC0">
      <w:pPr>
        <w:tabs>
          <w:tab w:val="left" w:pos="9639"/>
        </w:tabs>
        <w:ind w:right="-2"/>
        <w:rPr>
          <w:sz w:val="28"/>
          <w:szCs w:val="28"/>
        </w:rPr>
      </w:pPr>
    </w:p>
    <w:p w:rsidR="00307F3E" w:rsidRDefault="001E7244" w:rsidP="00161AC0">
      <w:pPr>
        <w:tabs>
          <w:tab w:val="left" w:pos="9639"/>
        </w:tabs>
        <w:ind w:right="-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9620" cy="8273455"/>
            <wp:effectExtent l="0" t="0" r="0" b="0"/>
            <wp:docPr id="6" name="Рисунок 6" descr="C:\Users\Nikolaeva_IN\Desktop\работа\18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olaeva_IN\Desktop\работа\184_00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82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3E" w:rsidRDefault="00307F3E" w:rsidP="00161AC0">
      <w:pPr>
        <w:tabs>
          <w:tab w:val="left" w:pos="9639"/>
        </w:tabs>
        <w:ind w:right="-2"/>
        <w:rPr>
          <w:sz w:val="28"/>
          <w:szCs w:val="28"/>
        </w:rPr>
      </w:pPr>
    </w:p>
    <w:p w:rsidR="00307F3E" w:rsidRDefault="00307F3E" w:rsidP="00161AC0">
      <w:pPr>
        <w:tabs>
          <w:tab w:val="left" w:pos="9639"/>
        </w:tabs>
        <w:ind w:right="-2"/>
        <w:rPr>
          <w:sz w:val="28"/>
          <w:szCs w:val="28"/>
        </w:rPr>
      </w:pPr>
    </w:p>
    <w:p w:rsidR="00307F3E" w:rsidRDefault="00307F3E" w:rsidP="00161AC0">
      <w:pPr>
        <w:tabs>
          <w:tab w:val="left" w:pos="9639"/>
        </w:tabs>
        <w:ind w:right="-2"/>
        <w:rPr>
          <w:sz w:val="28"/>
          <w:szCs w:val="28"/>
        </w:rPr>
      </w:pPr>
    </w:p>
    <w:p w:rsidR="00307F3E" w:rsidRDefault="00307F3E" w:rsidP="00161AC0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4A1926" w:rsidRPr="004A1926" w:rsidTr="004A1926">
        <w:trPr>
          <w:trHeight w:val="1700"/>
        </w:trPr>
        <w:tc>
          <w:tcPr>
            <w:tcW w:w="4244" w:type="dxa"/>
          </w:tcPr>
          <w:p w:rsidR="004A1926" w:rsidRPr="004A1926" w:rsidRDefault="004A1926" w:rsidP="004A1926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723" w:type="dxa"/>
          </w:tcPr>
          <w:p w:rsidR="004A1926" w:rsidRPr="004A1926" w:rsidRDefault="004A1926" w:rsidP="004A1926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4A192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19826576" wp14:editId="3A7B107F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4A1926" w:rsidRPr="004A1926" w:rsidRDefault="004A1926" w:rsidP="004A1926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4A1926" w:rsidRPr="004A1926" w:rsidTr="004A1926">
        <w:tc>
          <w:tcPr>
            <w:tcW w:w="10004" w:type="dxa"/>
            <w:gridSpan w:val="3"/>
          </w:tcPr>
          <w:p w:rsidR="004A1926" w:rsidRPr="004A1926" w:rsidRDefault="004A1926" w:rsidP="004A192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4A1926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4A1926" w:rsidRPr="004A1926" w:rsidRDefault="004A1926" w:rsidP="004A192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4A1926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4A1926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4A1926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4A1926" w:rsidRPr="004A1926" w:rsidRDefault="004A1926" w:rsidP="004A192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A1926" w:rsidRPr="004A1926" w:rsidTr="004A1926">
        <w:tc>
          <w:tcPr>
            <w:tcW w:w="10004" w:type="dxa"/>
            <w:gridSpan w:val="3"/>
          </w:tcPr>
          <w:p w:rsidR="004A1926" w:rsidRPr="004A1926" w:rsidRDefault="004A1926" w:rsidP="004A192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4A1926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4A1926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4A192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A1926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4A192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A1926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4A1926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4A1926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4A192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A1926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4A1926" w:rsidRPr="004A1926" w:rsidRDefault="004A1926" w:rsidP="004A1926">
      <w:pPr>
        <w:autoSpaceDE/>
        <w:rPr>
          <w:sz w:val="20"/>
          <w:szCs w:val="20"/>
        </w:rPr>
      </w:pPr>
    </w:p>
    <w:p w:rsidR="004A1926" w:rsidRPr="004A1926" w:rsidRDefault="004A1926" w:rsidP="004A1926">
      <w:pPr>
        <w:autoSpaceDE/>
        <w:jc w:val="center"/>
        <w:rPr>
          <w:b/>
          <w:sz w:val="44"/>
          <w:szCs w:val="44"/>
        </w:rPr>
      </w:pPr>
      <w:proofErr w:type="gramStart"/>
      <w:r w:rsidRPr="004A1926">
        <w:rPr>
          <w:b/>
          <w:sz w:val="44"/>
          <w:szCs w:val="44"/>
        </w:rPr>
        <w:t>П</w:t>
      </w:r>
      <w:proofErr w:type="gramEnd"/>
      <w:r w:rsidRPr="004A1926">
        <w:rPr>
          <w:b/>
          <w:sz w:val="44"/>
          <w:szCs w:val="44"/>
        </w:rPr>
        <w:t xml:space="preserve"> О С Т А Н О В Л Е Н И Е</w:t>
      </w:r>
    </w:p>
    <w:p w:rsidR="004A1926" w:rsidRPr="004A1926" w:rsidRDefault="004A1926" w:rsidP="004A1926">
      <w:pPr>
        <w:autoSpaceDE/>
        <w:jc w:val="center"/>
        <w:rPr>
          <w:b/>
          <w:sz w:val="28"/>
          <w:szCs w:val="28"/>
        </w:rPr>
      </w:pPr>
    </w:p>
    <w:p w:rsidR="004A1926" w:rsidRPr="004A1926" w:rsidRDefault="004A1926" w:rsidP="004A1926">
      <w:pPr>
        <w:autoSpaceDE/>
        <w:jc w:val="both"/>
        <w:rPr>
          <w:b/>
          <w:bCs/>
          <w:sz w:val="28"/>
          <w:szCs w:val="28"/>
        </w:rPr>
      </w:pPr>
      <w:r w:rsidRPr="004A1926">
        <w:rPr>
          <w:b/>
          <w:bCs/>
          <w:sz w:val="28"/>
          <w:szCs w:val="28"/>
        </w:rPr>
        <w:t>от «12»  февраля 2024 года                                                               № 164</w:t>
      </w:r>
    </w:p>
    <w:p w:rsidR="004A1926" w:rsidRPr="004A1926" w:rsidRDefault="004A1926" w:rsidP="004A1926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4A1926">
        <w:rPr>
          <w:b/>
          <w:bCs/>
          <w:sz w:val="28"/>
          <w:szCs w:val="28"/>
        </w:rPr>
        <w:t>с</w:t>
      </w:r>
      <w:proofErr w:type="gramEnd"/>
      <w:r w:rsidRPr="004A1926">
        <w:rPr>
          <w:b/>
          <w:bCs/>
          <w:sz w:val="28"/>
          <w:szCs w:val="28"/>
        </w:rPr>
        <w:t>. Якшур-Бодья</w:t>
      </w:r>
    </w:p>
    <w:p w:rsidR="004A1926" w:rsidRPr="004A1926" w:rsidRDefault="004A1926" w:rsidP="004A1926">
      <w:pPr>
        <w:keepNext/>
        <w:autoSpaceDE/>
        <w:outlineLvl w:val="0"/>
        <w:rPr>
          <w:b/>
          <w:sz w:val="28"/>
          <w:szCs w:val="20"/>
        </w:rPr>
      </w:pPr>
    </w:p>
    <w:p w:rsidR="004A1926" w:rsidRPr="004A1926" w:rsidRDefault="004A1926" w:rsidP="004A1926">
      <w:pPr>
        <w:keepNext/>
        <w:autoSpaceDE/>
        <w:jc w:val="center"/>
        <w:outlineLvl w:val="4"/>
        <w:rPr>
          <w:b/>
          <w:sz w:val="28"/>
          <w:szCs w:val="20"/>
          <w:lang w:eastAsia="zh-CN"/>
        </w:rPr>
      </w:pPr>
      <w:r w:rsidRPr="004A1926">
        <w:rPr>
          <w:b/>
          <w:sz w:val="28"/>
          <w:szCs w:val="20"/>
          <w:lang w:eastAsia="zh-CN"/>
        </w:rPr>
        <w:t xml:space="preserve">О реализации мер по ограничению роста платы граждан </w:t>
      </w:r>
    </w:p>
    <w:p w:rsidR="004A1926" w:rsidRPr="004A1926" w:rsidRDefault="004A1926" w:rsidP="004A1926">
      <w:pPr>
        <w:keepNext/>
        <w:autoSpaceDE/>
        <w:jc w:val="center"/>
        <w:outlineLvl w:val="4"/>
        <w:rPr>
          <w:b/>
          <w:sz w:val="28"/>
          <w:szCs w:val="20"/>
          <w:lang w:eastAsia="zh-CN"/>
        </w:rPr>
      </w:pPr>
      <w:r w:rsidRPr="004A1926">
        <w:rPr>
          <w:b/>
          <w:sz w:val="28"/>
          <w:szCs w:val="20"/>
          <w:lang w:eastAsia="zh-CN"/>
        </w:rPr>
        <w:t xml:space="preserve">за коммунальные услуги в 2024 году на территории </w:t>
      </w:r>
    </w:p>
    <w:p w:rsidR="004A1926" w:rsidRPr="004A1926" w:rsidRDefault="004A1926" w:rsidP="004A1926">
      <w:pPr>
        <w:keepNext/>
        <w:autoSpaceDE/>
        <w:jc w:val="center"/>
        <w:outlineLvl w:val="4"/>
        <w:rPr>
          <w:b/>
          <w:sz w:val="28"/>
          <w:szCs w:val="20"/>
          <w:lang w:eastAsia="zh-CN"/>
        </w:rPr>
      </w:pPr>
      <w:r w:rsidRPr="004A1926">
        <w:rPr>
          <w:b/>
          <w:sz w:val="28"/>
          <w:szCs w:val="20"/>
          <w:lang w:eastAsia="zh-CN"/>
        </w:rPr>
        <w:t xml:space="preserve">муниципального образования «Муниципальный округ </w:t>
      </w:r>
      <w:proofErr w:type="spellStart"/>
      <w:r w:rsidRPr="004A1926">
        <w:rPr>
          <w:b/>
          <w:sz w:val="28"/>
          <w:szCs w:val="20"/>
          <w:lang w:eastAsia="zh-CN"/>
        </w:rPr>
        <w:t>Якшур-Бодьинский</w:t>
      </w:r>
      <w:proofErr w:type="spellEnd"/>
      <w:r w:rsidRPr="004A1926">
        <w:rPr>
          <w:b/>
          <w:sz w:val="28"/>
          <w:szCs w:val="20"/>
          <w:lang w:eastAsia="zh-CN"/>
        </w:rPr>
        <w:t xml:space="preserve"> район Удмуртской Республики» </w:t>
      </w:r>
    </w:p>
    <w:p w:rsidR="004A1926" w:rsidRPr="004A1926" w:rsidRDefault="004A1926" w:rsidP="004A1926">
      <w:pPr>
        <w:keepNext/>
        <w:autoSpaceDE/>
        <w:jc w:val="center"/>
        <w:outlineLvl w:val="4"/>
        <w:rPr>
          <w:sz w:val="20"/>
          <w:szCs w:val="20"/>
        </w:rPr>
      </w:pPr>
    </w:p>
    <w:p w:rsidR="004A1926" w:rsidRPr="004A1926" w:rsidRDefault="004A1926" w:rsidP="004A1926">
      <w:pPr>
        <w:autoSpaceDE/>
        <w:ind w:firstLine="708"/>
        <w:jc w:val="both"/>
        <w:rPr>
          <w:sz w:val="28"/>
          <w:lang w:eastAsia="zh-CN"/>
        </w:rPr>
      </w:pPr>
      <w:proofErr w:type="gramStart"/>
      <w:r w:rsidRPr="004A1926">
        <w:rPr>
          <w:sz w:val="28"/>
          <w:szCs w:val="28"/>
          <w:lang w:eastAsia="zh-CN"/>
        </w:rPr>
        <w:t xml:space="preserve">Руководствуясь </w:t>
      </w:r>
      <w:hyperlink r:id="rId15">
        <w:r w:rsidRPr="004A1926">
          <w:rPr>
            <w:sz w:val="28"/>
            <w:szCs w:val="28"/>
            <w:lang w:eastAsia="zh-CN"/>
          </w:rPr>
          <w:t>статьей 78</w:t>
        </w:r>
      </w:hyperlink>
      <w:r w:rsidRPr="004A1926">
        <w:rPr>
          <w:sz w:val="28"/>
          <w:szCs w:val="28"/>
          <w:lang w:eastAsia="zh-CN"/>
        </w:rPr>
        <w:t xml:space="preserve"> Бюджетного кодекса Российской Федерации, в целях реализации </w:t>
      </w:r>
      <w:hyperlink r:id="rId16">
        <w:r w:rsidRPr="004A1926">
          <w:rPr>
            <w:sz w:val="28"/>
            <w:szCs w:val="28"/>
            <w:lang w:eastAsia="zh-CN"/>
          </w:rPr>
          <w:t>Закона</w:t>
        </w:r>
      </w:hyperlink>
      <w:r w:rsidRPr="004A1926">
        <w:rPr>
          <w:sz w:val="28"/>
          <w:szCs w:val="28"/>
          <w:lang w:eastAsia="zh-CN"/>
        </w:rPr>
        <w:t xml:space="preserve"> Удмуртской Республики от 16 июля 2015 года № 55-РЗ «О мерах дополнительной социальной поддержки граждан по оплате коммунальных услуг и наделении органов местного самоуправления отдельными государственными полномочиями Удмуртской Республики по предоставлению мер дополнительной социальной поддержки граждан по оплате коммунальных услуг», </w:t>
      </w:r>
      <w:hyperlink r:id="rId17">
        <w:r w:rsidRPr="004A1926">
          <w:rPr>
            <w:sz w:val="28"/>
            <w:szCs w:val="28"/>
            <w:lang w:eastAsia="zh-CN"/>
          </w:rPr>
          <w:t>пункта 2</w:t>
        </w:r>
      </w:hyperlink>
      <w:r w:rsidRPr="004A1926">
        <w:rPr>
          <w:sz w:val="28"/>
          <w:szCs w:val="28"/>
          <w:lang w:eastAsia="zh-CN"/>
        </w:rPr>
        <w:t xml:space="preserve"> постановления Правительства Удмуртской Республики от 27.07.2015 года № 375</w:t>
      </w:r>
      <w:proofErr w:type="gramEnd"/>
      <w:r w:rsidRPr="004A1926">
        <w:rPr>
          <w:sz w:val="28"/>
          <w:szCs w:val="28"/>
          <w:lang w:eastAsia="zh-CN"/>
        </w:rPr>
        <w:t xml:space="preserve"> «</w:t>
      </w:r>
      <w:proofErr w:type="gramStart"/>
      <w:r w:rsidRPr="004A1926">
        <w:rPr>
          <w:sz w:val="28"/>
          <w:szCs w:val="28"/>
          <w:lang w:eastAsia="zh-CN"/>
        </w:rPr>
        <w:t xml:space="preserve">О реализации Закона Удмуртской Республики «О мерах дополнительной социальной поддержки граждан по оплате коммунальных услуг и наделении органов местного самоуправления отдельными государственными полномочиями Удмуртской Республики по предоставлению мер дополнительной социальной поддержки граждан по оплате коммунальных услуг», </w:t>
      </w:r>
      <w:r w:rsidRPr="004A1926">
        <w:rPr>
          <w:sz w:val="28"/>
          <w:lang w:eastAsia="zh-CN"/>
        </w:rPr>
        <w:t>Указом Главы УР от 15.12.2023 года № 318</w:t>
      </w:r>
      <w:r w:rsidRPr="004A1926">
        <w:rPr>
          <w:sz w:val="28"/>
          <w:szCs w:val="28"/>
          <w:lang w:eastAsia="zh-CN"/>
        </w:rPr>
        <w:t xml:space="preserve"> «Об установлении предельных (максимальных) индексов изменения размера вносимой гражданами платы за коммунальные услуги в муниципальных образованиях, образованных</w:t>
      </w:r>
      <w:proofErr w:type="gramEnd"/>
      <w:r w:rsidRPr="004A1926">
        <w:rPr>
          <w:sz w:val="28"/>
          <w:szCs w:val="28"/>
          <w:lang w:eastAsia="zh-CN"/>
        </w:rPr>
        <w:t xml:space="preserve"> </w:t>
      </w:r>
      <w:proofErr w:type="gramStart"/>
      <w:r w:rsidRPr="004A1926">
        <w:rPr>
          <w:sz w:val="28"/>
          <w:szCs w:val="28"/>
          <w:lang w:eastAsia="zh-CN"/>
        </w:rPr>
        <w:t xml:space="preserve">на территории Удмуртской Республики, на период с 2024 года по 2028 год», </w:t>
      </w:r>
      <w:r w:rsidRPr="004A1926">
        <w:rPr>
          <w:sz w:val="28"/>
          <w:lang w:eastAsia="zh-CN"/>
        </w:rPr>
        <w:t>в целях недопущения роста платы граждан за коммунальные услуги в 2024 году более утвержденных</w:t>
      </w:r>
      <w:r w:rsidRPr="004A19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1926">
        <w:rPr>
          <w:sz w:val="28"/>
          <w:lang w:eastAsia="zh-CN"/>
        </w:rPr>
        <w:t xml:space="preserve">для муниципального образования «Муниципальный округ </w:t>
      </w:r>
      <w:proofErr w:type="spellStart"/>
      <w:r w:rsidRPr="004A1926">
        <w:rPr>
          <w:sz w:val="28"/>
          <w:lang w:eastAsia="zh-CN"/>
        </w:rPr>
        <w:t>Якшур-Бодьинский</w:t>
      </w:r>
      <w:proofErr w:type="spellEnd"/>
      <w:r w:rsidRPr="004A1926">
        <w:rPr>
          <w:sz w:val="28"/>
          <w:lang w:eastAsia="zh-CN"/>
        </w:rPr>
        <w:t xml:space="preserve"> район Удмуртской Республики» предельных индексов</w:t>
      </w:r>
      <w:r w:rsidRPr="004A19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1926">
        <w:rPr>
          <w:sz w:val="28"/>
          <w:lang w:eastAsia="zh-CN"/>
        </w:rPr>
        <w:t xml:space="preserve">изменения размера вносимой гражданами платы за коммунальные услуги, руководствуясь решением Совета депутатов муниципального образования «Муниципальный округ </w:t>
      </w:r>
      <w:proofErr w:type="spellStart"/>
      <w:r w:rsidRPr="004A1926">
        <w:rPr>
          <w:sz w:val="28"/>
          <w:lang w:eastAsia="zh-CN"/>
        </w:rPr>
        <w:t>Якшур-Бодьинский</w:t>
      </w:r>
      <w:proofErr w:type="spellEnd"/>
      <w:r w:rsidRPr="004A1926">
        <w:rPr>
          <w:sz w:val="28"/>
          <w:lang w:eastAsia="zh-CN"/>
        </w:rPr>
        <w:t xml:space="preserve"> район Удмуртской </w:t>
      </w:r>
      <w:r w:rsidRPr="004A1926">
        <w:rPr>
          <w:sz w:val="28"/>
          <w:lang w:eastAsia="zh-CN"/>
        </w:rPr>
        <w:lastRenderedPageBreak/>
        <w:t>Республики» от 23.11.2023 года</w:t>
      </w:r>
      <w:proofErr w:type="gramEnd"/>
      <w:r w:rsidRPr="004A1926">
        <w:rPr>
          <w:sz w:val="28"/>
          <w:lang w:eastAsia="zh-CN"/>
        </w:rPr>
        <w:t xml:space="preserve"> № 5/434 «О бюджете муниципального образования «Муниципальный округ </w:t>
      </w:r>
      <w:proofErr w:type="spellStart"/>
      <w:r w:rsidRPr="004A1926">
        <w:rPr>
          <w:sz w:val="28"/>
          <w:lang w:eastAsia="zh-CN"/>
        </w:rPr>
        <w:t>Якшур-Бодьинский</w:t>
      </w:r>
      <w:proofErr w:type="spellEnd"/>
      <w:r w:rsidRPr="004A1926">
        <w:rPr>
          <w:sz w:val="28"/>
          <w:lang w:eastAsia="zh-CN"/>
        </w:rPr>
        <w:t xml:space="preserve"> район Удмуртской Республики» на 2024 год и на плановый период 2025 и 2026 годов», </w:t>
      </w:r>
      <w:r w:rsidRPr="004A1926">
        <w:rPr>
          <w:color w:val="000000"/>
          <w:sz w:val="28"/>
          <w:szCs w:val="28"/>
          <w:lang w:eastAsia="zh-CN"/>
        </w:rPr>
        <w:t>статьями</w:t>
      </w:r>
      <w:r w:rsidRPr="004A1926">
        <w:rPr>
          <w:sz w:val="28"/>
          <w:szCs w:val="28"/>
          <w:lang w:eastAsia="zh-CN"/>
        </w:rPr>
        <w:t xml:space="preserve"> 30, 32, частью 4 статьи 38 Устава муниципального образования «Муниципальный округ </w:t>
      </w:r>
      <w:proofErr w:type="spellStart"/>
      <w:r w:rsidRPr="004A1926">
        <w:rPr>
          <w:sz w:val="28"/>
          <w:szCs w:val="28"/>
          <w:lang w:eastAsia="zh-CN"/>
        </w:rPr>
        <w:t>Якшур-Бодьинский</w:t>
      </w:r>
      <w:proofErr w:type="spellEnd"/>
      <w:r w:rsidRPr="004A1926">
        <w:rPr>
          <w:sz w:val="28"/>
          <w:szCs w:val="28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4A1926">
        <w:rPr>
          <w:sz w:val="28"/>
          <w:szCs w:val="28"/>
          <w:lang w:eastAsia="zh-CN"/>
        </w:rPr>
        <w:t>Якшур-Бодьинский</w:t>
      </w:r>
      <w:proofErr w:type="spellEnd"/>
      <w:r w:rsidRPr="004A1926">
        <w:rPr>
          <w:sz w:val="28"/>
          <w:szCs w:val="28"/>
          <w:lang w:eastAsia="zh-CN"/>
        </w:rPr>
        <w:t xml:space="preserve"> район Удмуртской Республики» </w:t>
      </w:r>
      <w:r w:rsidRPr="004A1926">
        <w:rPr>
          <w:b/>
          <w:sz w:val="28"/>
          <w:szCs w:val="28"/>
          <w:u w:val="single"/>
          <w:lang w:eastAsia="zh-CN"/>
        </w:rPr>
        <w:t>ПОСТАНОВЛЯЕТ:</w:t>
      </w:r>
    </w:p>
    <w:p w:rsidR="004A1926" w:rsidRPr="004A1926" w:rsidRDefault="004A1926" w:rsidP="004A1926">
      <w:pPr>
        <w:autoSpaceDE/>
        <w:ind w:firstLine="709"/>
        <w:jc w:val="both"/>
        <w:rPr>
          <w:sz w:val="28"/>
          <w:szCs w:val="28"/>
          <w:lang w:eastAsia="zh-CN"/>
        </w:rPr>
      </w:pPr>
    </w:p>
    <w:p w:rsidR="004A1926" w:rsidRPr="004A1926" w:rsidRDefault="004A1926" w:rsidP="004A1926">
      <w:pPr>
        <w:numPr>
          <w:ilvl w:val="0"/>
          <w:numId w:val="28"/>
        </w:numPr>
        <w:suppressAutoHyphens w:val="0"/>
        <w:autoSpaceDE/>
        <w:ind w:left="0" w:firstLine="709"/>
        <w:jc w:val="both"/>
        <w:rPr>
          <w:sz w:val="28"/>
          <w:lang w:eastAsia="zh-CN"/>
        </w:rPr>
      </w:pPr>
      <w:r w:rsidRPr="004A1926">
        <w:rPr>
          <w:sz w:val="28"/>
          <w:lang w:eastAsia="zh-CN"/>
        </w:rPr>
        <w:t xml:space="preserve">Утвердить прилагаемый Порядок предоставления субсидий за счет средств бюджета муниципального образования «Муниципальный округ </w:t>
      </w:r>
      <w:proofErr w:type="spellStart"/>
      <w:r w:rsidRPr="004A1926">
        <w:rPr>
          <w:sz w:val="28"/>
          <w:lang w:eastAsia="zh-CN"/>
        </w:rPr>
        <w:t>Якшур-Бодьинский</w:t>
      </w:r>
      <w:proofErr w:type="spellEnd"/>
      <w:r w:rsidRPr="004A1926">
        <w:rPr>
          <w:sz w:val="28"/>
          <w:lang w:eastAsia="zh-CN"/>
        </w:rPr>
        <w:t xml:space="preserve"> район Удмуртской Республики» хозяйствующим субъектам на возмещение недополученных доходов в связи с предоставлением  коммунальных услуг  населению. </w:t>
      </w:r>
    </w:p>
    <w:p w:rsidR="004A1926" w:rsidRPr="004A1926" w:rsidRDefault="004A1926" w:rsidP="004A1926">
      <w:pPr>
        <w:numPr>
          <w:ilvl w:val="0"/>
          <w:numId w:val="28"/>
        </w:numPr>
        <w:suppressAutoHyphens w:val="0"/>
        <w:autoSpaceDE/>
        <w:ind w:left="0" w:firstLine="709"/>
        <w:jc w:val="both"/>
        <w:rPr>
          <w:sz w:val="28"/>
          <w:lang w:eastAsia="zh-CN"/>
        </w:rPr>
      </w:pPr>
      <w:r w:rsidRPr="004A1926">
        <w:rPr>
          <w:sz w:val="28"/>
          <w:lang w:eastAsia="zh-CN"/>
        </w:rPr>
        <w:t xml:space="preserve">Определить уполномоченным органом по распределению субсидий из бюджета муниципального образования «Муниципальный округ </w:t>
      </w:r>
      <w:proofErr w:type="spellStart"/>
      <w:r w:rsidRPr="004A1926">
        <w:rPr>
          <w:sz w:val="28"/>
          <w:lang w:eastAsia="zh-CN"/>
        </w:rPr>
        <w:t>Якшур-Бодьинский</w:t>
      </w:r>
      <w:proofErr w:type="spellEnd"/>
      <w:r w:rsidRPr="004A1926">
        <w:rPr>
          <w:sz w:val="28"/>
          <w:lang w:eastAsia="zh-CN"/>
        </w:rPr>
        <w:t xml:space="preserve"> район Удмуртской Республики» на возмещение недополученных доходов в связи с предоставлением коммунальных услуг населению отдел по строительству и  жилищно-коммунальному хозяйству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4A1926">
        <w:rPr>
          <w:sz w:val="28"/>
          <w:lang w:eastAsia="zh-CN"/>
        </w:rPr>
        <w:t>Якшур-Бодьинский</w:t>
      </w:r>
      <w:proofErr w:type="spellEnd"/>
      <w:r w:rsidRPr="004A1926">
        <w:rPr>
          <w:sz w:val="28"/>
          <w:lang w:eastAsia="zh-CN"/>
        </w:rPr>
        <w:t xml:space="preserve"> район Удмуртской Республики».</w:t>
      </w:r>
    </w:p>
    <w:p w:rsidR="004A1926" w:rsidRPr="004A1926" w:rsidRDefault="004A1926" w:rsidP="004A1926">
      <w:pPr>
        <w:numPr>
          <w:ilvl w:val="0"/>
          <w:numId w:val="28"/>
        </w:numPr>
        <w:suppressAutoHyphens w:val="0"/>
        <w:autoSpaceDE/>
        <w:ind w:left="0" w:firstLine="709"/>
        <w:jc w:val="both"/>
        <w:rPr>
          <w:sz w:val="28"/>
          <w:szCs w:val="28"/>
          <w:lang w:eastAsia="zh-CN"/>
        </w:rPr>
      </w:pPr>
      <w:r w:rsidRPr="004A1926">
        <w:rPr>
          <w:sz w:val="28"/>
          <w:lang w:eastAsia="zh-CN"/>
        </w:rPr>
        <w:t xml:space="preserve">Признать утратившими силу пункты 1, 2 постановления Администрации муниципального образования «Муниципальный округ </w:t>
      </w:r>
      <w:proofErr w:type="spellStart"/>
      <w:r w:rsidRPr="004A1926">
        <w:rPr>
          <w:sz w:val="28"/>
          <w:lang w:eastAsia="zh-CN"/>
        </w:rPr>
        <w:t>Якшур-Бодьинский</w:t>
      </w:r>
      <w:proofErr w:type="spellEnd"/>
      <w:r w:rsidRPr="004A1926">
        <w:rPr>
          <w:sz w:val="28"/>
          <w:lang w:eastAsia="zh-CN"/>
        </w:rPr>
        <w:t xml:space="preserve"> район Удмуртской Республики» от 30.12.2022 года № 2411 «О реализации мер по ограничению роста платы граждан за коммунальные услуги в 2023 году на территории муниципального образования «Муниципальный округ </w:t>
      </w:r>
      <w:proofErr w:type="spellStart"/>
      <w:r w:rsidRPr="004A1926">
        <w:rPr>
          <w:sz w:val="28"/>
          <w:lang w:eastAsia="zh-CN"/>
        </w:rPr>
        <w:t>Якшур-Бодьинский</w:t>
      </w:r>
      <w:proofErr w:type="spellEnd"/>
      <w:r w:rsidRPr="004A1926">
        <w:rPr>
          <w:sz w:val="28"/>
          <w:lang w:eastAsia="zh-CN"/>
        </w:rPr>
        <w:t xml:space="preserve"> район Удмуртской Республики».</w:t>
      </w:r>
    </w:p>
    <w:p w:rsidR="004A1926" w:rsidRPr="004A1926" w:rsidRDefault="004A1926" w:rsidP="004A1926">
      <w:pPr>
        <w:numPr>
          <w:ilvl w:val="0"/>
          <w:numId w:val="28"/>
        </w:numPr>
        <w:suppressAutoHyphens w:val="0"/>
        <w:autoSpaceDE/>
        <w:ind w:left="0" w:firstLine="709"/>
        <w:jc w:val="both"/>
        <w:rPr>
          <w:sz w:val="28"/>
          <w:lang w:eastAsia="zh-CN"/>
        </w:rPr>
      </w:pPr>
      <w:r w:rsidRPr="004A1926">
        <w:rPr>
          <w:sz w:val="28"/>
          <w:lang w:eastAsia="zh-CN"/>
        </w:rPr>
        <w:t>Настоящее постановление вступает в силу с момента его официального опубликования и распространяет свое действие на правоотношения, возникшие с 01.01.2024 года.</w:t>
      </w:r>
    </w:p>
    <w:p w:rsidR="004A1926" w:rsidRPr="004A1926" w:rsidRDefault="004A1926" w:rsidP="004A1926">
      <w:pPr>
        <w:numPr>
          <w:ilvl w:val="0"/>
          <w:numId w:val="28"/>
        </w:numPr>
        <w:suppressAutoHyphens w:val="0"/>
        <w:autoSpaceDE/>
        <w:ind w:left="0" w:firstLine="709"/>
        <w:jc w:val="both"/>
        <w:rPr>
          <w:sz w:val="28"/>
          <w:lang w:eastAsia="zh-CN"/>
        </w:rPr>
      </w:pPr>
      <w:proofErr w:type="gramStart"/>
      <w:r w:rsidRPr="004A1926">
        <w:rPr>
          <w:sz w:val="28"/>
          <w:lang w:eastAsia="zh-CN"/>
        </w:rPr>
        <w:t>Контроль за</w:t>
      </w:r>
      <w:proofErr w:type="gramEnd"/>
      <w:r w:rsidRPr="004A1926">
        <w:rPr>
          <w:sz w:val="28"/>
          <w:lang w:eastAsia="zh-CN"/>
        </w:rPr>
        <w:t xml:space="preserve"> исполнением настоящего постановления возложить на </w:t>
      </w:r>
      <w:proofErr w:type="spellStart"/>
      <w:r w:rsidRPr="004A1926">
        <w:rPr>
          <w:sz w:val="28"/>
          <w:lang w:eastAsia="zh-CN"/>
        </w:rPr>
        <w:t>Варавинова</w:t>
      </w:r>
      <w:proofErr w:type="spellEnd"/>
      <w:r w:rsidRPr="004A1926">
        <w:rPr>
          <w:sz w:val="28"/>
          <w:lang w:eastAsia="zh-CN"/>
        </w:rPr>
        <w:t xml:space="preserve"> О.М., заместителя главы Администрации муниципального образования «Муниципальный округ </w:t>
      </w:r>
      <w:proofErr w:type="spellStart"/>
      <w:r w:rsidRPr="004A1926">
        <w:rPr>
          <w:sz w:val="28"/>
          <w:lang w:eastAsia="zh-CN"/>
        </w:rPr>
        <w:t>Якшур-Бодьинский</w:t>
      </w:r>
      <w:proofErr w:type="spellEnd"/>
      <w:r w:rsidRPr="004A1926">
        <w:rPr>
          <w:sz w:val="28"/>
          <w:lang w:eastAsia="zh-CN"/>
        </w:rPr>
        <w:t xml:space="preserve"> район Удмуртской Республики».</w:t>
      </w:r>
    </w:p>
    <w:p w:rsidR="004A1926" w:rsidRPr="004A1926" w:rsidRDefault="004A1926" w:rsidP="004A1926">
      <w:pPr>
        <w:autoSpaceDE/>
        <w:jc w:val="both"/>
        <w:rPr>
          <w:sz w:val="28"/>
          <w:lang w:eastAsia="zh-CN"/>
        </w:rPr>
      </w:pPr>
    </w:p>
    <w:p w:rsidR="004A1926" w:rsidRPr="004A1926" w:rsidRDefault="004A1926" w:rsidP="004A1926">
      <w:pPr>
        <w:autoSpaceDE/>
        <w:jc w:val="both"/>
        <w:rPr>
          <w:b/>
          <w:sz w:val="28"/>
          <w:szCs w:val="28"/>
          <w:lang w:eastAsia="zh-CN"/>
        </w:rPr>
      </w:pPr>
      <w:r w:rsidRPr="004A1926">
        <w:rPr>
          <w:b/>
          <w:sz w:val="28"/>
          <w:szCs w:val="28"/>
          <w:lang w:eastAsia="zh-CN"/>
        </w:rPr>
        <w:t>Глава муниципального образования</w:t>
      </w:r>
    </w:p>
    <w:p w:rsidR="004A1926" w:rsidRPr="004A1926" w:rsidRDefault="004A1926" w:rsidP="004A1926">
      <w:pPr>
        <w:autoSpaceDE/>
        <w:jc w:val="both"/>
        <w:rPr>
          <w:b/>
          <w:sz w:val="28"/>
          <w:szCs w:val="28"/>
          <w:lang w:eastAsia="zh-CN"/>
        </w:rPr>
      </w:pPr>
      <w:r w:rsidRPr="004A1926">
        <w:rPr>
          <w:b/>
          <w:sz w:val="28"/>
          <w:szCs w:val="28"/>
          <w:lang w:eastAsia="zh-CN"/>
        </w:rPr>
        <w:t>«Муниципальный округ</w:t>
      </w:r>
    </w:p>
    <w:p w:rsidR="004A1926" w:rsidRPr="004A1926" w:rsidRDefault="004A1926" w:rsidP="004A1926">
      <w:pPr>
        <w:autoSpaceDE/>
        <w:jc w:val="both"/>
        <w:rPr>
          <w:b/>
          <w:sz w:val="28"/>
          <w:szCs w:val="28"/>
          <w:lang w:eastAsia="zh-CN"/>
        </w:rPr>
      </w:pPr>
      <w:proofErr w:type="spellStart"/>
      <w:r w:rsidRPr="004A1926">
        <w:rPr>
          <w:b/>
          <w:sz w:val="28"/>
          <w:szCs w:val="28"/>
          <w:lang w:eastAsia="zh-CN"/>
        </w:rPr>
        <w:t>Якшур-Бодьинский</w:t>
      </w:r>
      <w:proofErr w:type="spellEnd"/>
      <w:r w:rsidRPr="004A1926">
        <w:rPr>
          <w:b/>
          <w:sz w:val="28"/>
          <w:szCs w:val="28"/>
          <w:lang w:eastAsia="zh-CN"/>
        </w:rPr>
        <w:t xml:space="preserve"> район</w:t>
      </w:r>
    </w:p>
    <w:p w:rsidR="004A1926" w:rsidRPr="004A1926" w:rsidRDefault="004A1926" w:rsidP="004A1926">
      <w:pPr>
        <w:autoSpaceDE/>
        <w:jc w:val="both"/>
        <w:rPr>
          <w:b/>
          <w:sz w:val="28"/>
          <w:szCs w:val="28"/>
          <w:lang w:eastAsia="zh-CN"/>
        </w:rPr>
      </w:pPr>
      <w:r w:rsidRPr="004A1926">
        <w:rPr>
          <w:b/>
          <w:sz w:val="28"/>
          <w:szCs w:val="28"/>
          <w:lang w:eastAsia="zh-CN"/>
        </w:rPr>
        <w:t xml:space="preserve">Удмуртской Республики»                                                       А.В. </w:t>
      </w:r>
      <w:proofErr w:type="spellStart"/>
      <w:r w:rsidRPr="004A1926">
        <w:rPr>
          <w:b/>
          <w:sz w:val="28"/>
          <w:szCs w:val="28"/>
          <w:lang w:eastAsia="zh-CN"/>
        </w:rPr>
        <w:t>Леконцев</w:t>
      </w:r>
      <w:proofErr w:type="spellEnd"/>
    </w:p>
    <w:p w:rsidR="004A1926" w:rsidRPr="004A1926" w:rsidRDefault="004A1926" w:rsidP="004A1926">
      <w:pPr>
        <w:autoSpaceDE/>
        <w:jc w:val="both"/>
        <w:rPr>
          <w:b/>
          <w:sz w:val="28"/>
          <w:szCs w:val="28"/>
          <w:lang w:eastAsia="zh-CN"/>
        </w:rPr>
      </w:pPr>
    </w:p>
    <w:p w:rsidR="004A1926" w:rsidRPr="004A1926" w:rsidRDefault="004A1926" w:rsidP="004A1926">
      <w:pPr>
        <w:autoSpaceDE/>
        <w:jc w:val="both"/>
        <w:rPr>
          <w:sz w:val="22"/>
          <w:szCs w:val="20"/>
          <w:lang w:eastAsia="zh-CN"/>
        </w:rPr>
      </w:pPr>
      <w:proofErr w:type="spellStart"/>
      <w:r w:rsidRPr="004A1926">
        <w:rPr>
          <w:sz w:val="22"/>
          <w:szCs w:val="20"/>
          <w:lang w:eastAsia="zh-CN"/>
        </w:rPr>
        <w:t>Варавинов</w:t>
      </w:r>
      <w:proofErr w:type="spellEnd"/>
      <w:r w:rsidRPr="004A1926">
        <w:rPr>
          <w:sz w:val="22"/>
          <w:szCs w:val="20"/>
          <w:lang w:eastAsia="zh-CN"/>
        </w:rPr>
        <w:t xml:space="preserve"> Олег Михайлович</w:t>
      </w:r>
    </w:p>
    <w:p w:rsidR="004A1926" w:rsidRPr="004A1926" w:rsidRDefault="004A1926" w:rsidP="004A1926">
      <w:pPr>
        <w:autoSpaceDE/>
        <w:jc w:val="both"/>
        <w:rPr>
          <w:sz w:val="22"/>
          <w:szCs w:val="20"/>
          <w:lang w:eastAsia="zh-CN"/>
        </w:rPr>
      </w:pPr>
      <w:r w:rsidRPr="004A1926">
        <w:rPr>
          <w:sz w:val="22"/>
          <w:szCs w:val="20"/>
          <w:lang w:eastAsia="zh-CN"/>
        </w:rPr>
        <w:t>8(34162) 4-15-02</w:t>
      </w:r>
    </w:p>
    <w:p w:rsidR="004A1926" w:rsidRPr="004A1926" w:rsidRDefault="004A1926" w:rsidP="004A1926">
      <w:pPr>
        <w:autoSpaceDE/>
        <w:jc w:val="right"/>
        <w:rPr>
          <w:shd w:val="clear" w:color="auto" w:fill="FEFFFE"/>
          <w:lang w:eastAsia="zh-CN"/>
        </w:rPr>
      </w:pPr>
      <w:r w:rsidRPr="004A1926">
        <w:rPr>
          <w:shd w:val="clear" w:color="auto" w:fill="FEFFFE"/>
          <w:lang w:eastAsia="zh-CN"/>
        </w:rPr>
        <w:lastRenderedPageBreak/>
        <w:t xml:space="preserve">Приложение </w:t>
      </w:r>
    </w:p>
    <w:p w:rsidR="004A1926" w:rsidRPr="004A1926" w:rsidRDefault="004A1926" w:rsidP="004A1926">
      <w:pPr>
        <w:autoSpaceDE/>
        <w:jc w:val="right"/>
        <w:rPr>
          <w:shd w:val="clear" w:color="auto" w:fill="FEFFFE"/>
          <w:lang w:eastAsia="zh-CN"/>
        </w:rPr>
      </w:pPr>
      <w:r w:rsidRPr="004A1926">
        <w:rPr>
          <w:shd w:val="clear" w:color="auto" w:fill="FEFFFE"/>
          <w:lang w:eastAsia="zh-CN"/>
        </w:rPr>
        <w:t xml:space="preserve">к постановлению Администрации </w:t>
      </w:r>
    </w:p>
    <w:p w:rsidR="004A1926" w:rsidRPr="004A1926" w:rsidRDefault="004A1926" w:rsidP="004A1926">
      <w:pPr>
        <w:autoSpaceDE/>
        <w:jc w:val="right"/>
        <w:rPr>
          <w:shd w:val="clear" w:color="auto" w:fill="FEFFFE"/>
          <w:lang w:eastAsia="zh-CN"/>
        </w:rPr>
      </w:pPr>
      <w:r w:rsidRPr="004A1926">
        <w:rPr>
          <w:shd w:val="clear" w:color="auto" w:fill="FEFFFE"/>
          <w:lang w:eastAsia="zh-CN"/>
        </w:rPr>
        <w:t xml:space="preserve">муниципального образования  </w:t>
      </w:r>
    </w:p>
    <w:p w:rsidR="004A1926" w:rsidRPr="004A1926" w:rsidRDefault="004A1926" w:rsidP="004A1926">
      <w:pPr>
        <w:autoSpaceDE/>
        <w:jc w:val="right"/>
        <w:rPr>
          <w:shd w:val="clear" w:color="auto" w:fill="FEFFFE"/>
          <w:lang w:eastAsia="zh-CN"/>
        </w:rPr>
      </w:pPr>
      <w:r w:rsidRPr="004A1926">
        <w:rPr>
          <w:shd w:val="clear" w:color="auto" w:fill="FEFFFE"/>
          <w:lang w:eastAsia="zh-CN"/>
        </w:rPr>
        <w:t xml:space="preserve">«Муниципальный округ </w:t>
      </w:r>
    </w:p>
    <w:p w:rsidR="004A1926" w:rsidRPr="004A1926" w:rsidRDefault="004A1926" w:rsidP="004A1926">
      <w:pPr>
        <w:autoSpaceDE/>
        <w:jc w:val="right"/>
        <w:rPr>
          <w:sz w:val="22"/>
          <w:szCs w:val="20"/>
          <w:lang w:eastAsia="zh-CN"/>
        </w:rPr>
      </w:pPr>
      <w:proofErr w:type="spellStart"/>
      <w:r w:rsidRPr="004A1926">
        <w:rPr>
          <w:shd w:val="clear" w:color="auto" w:fill="FEFFFE"/>
          <w:lang w:eastAsia="zh-CN"/>
        </w:rPr>
        <w:t>Якшур-Бодьинский</w:t>
      </w:r>
      <w:proofErr w:type="spellEnd"/>
      <w:r w:rsidRPr="004A1926">
        <w:rPr>
          <w:shd w:val="clear" w:color="auto" w:fill="FEFFFE"/>
          <w:lang w:eastAsia="zh-CN"/>
        </w:rPr>
        <w:t xml:space="preserve"> район </w:t>
      </w:r>
    </w:p>
    <w:p w:rsidR="004A1926" w:rsidRPr="004A1926" w:rsidRDefault="004A1926" w:rsidP="004A1926">
      <w:pPr>
        <w:widowControl w:val="0"/>
        <w:shd w:val="clear" w:color="auto" w:fill="FEFFFE"/>
        <w:suppressAutoHyphens w:val="0"/>
        <w:autoSpaceDN w:val="0"/>
        <w:adjustRightInd w:val="0"/>
        <w:ind w:left="4962" w:right="43"/>
        <w:jc w:val="right"/>
        <w:rPr>
          <w:rFonts w:eastAsiaTheme="minorEastAsia"/>
          <w:shd w:val="clear" w:color="auto" w:fill="FEFFFE"/>
          <w:lang w:eastAsia="ru-RU"/>
        </w:rPr>
      </w:pPr>
      <w:r w:rsidRPr="004A1926">
        <w:rPr>
          <w:rFonts w:eastAsiaTheme="minorEastAsia"/>
          <w:shd w:val="clear" w:color="auto" w:fill="FEFFFE"/>
          <w:lang w:eastAsia="ru-RU"/>
        </w:rPr>
        <w:t>Удмуртской Республики»</w:t>
      </w:r>
    </w:p>
    <w:p w:rsidR="004A1926" w:rsidRPr="004A1926" w:rsidRDefault="004A1926" w:rsidP="004A1926">
      <w:pPr>
        <w:widowControl w:val="0"/>
        <w:shd w:val="clear" w:color="auto" w:fill="FEFFFE"/>
        <w:suppressAutoHyphens w:val="0"/>
        <w:autoSpaceDN w:val="0"/>
        <w:adjustRightInd w:val="0"/>
        <w:ind w:left="4962" w:right="43"/>
        <w:jc w:val="right"/>
        <w:rPr>
          <w:rFonts w:eastAsiaTheme="minorEastAsia"/>
          <w:shd w:val="clear" w:color="auto" w:fill="FEFFFE"/>
          <w:lang w:eastAsia="ru-RU"/>
        </w:rPr>
      </w:pPr>
      <w:r w:rsidRPr="004A1926">
        <w:rPr>
          <w:rFonts w:eastAsiaTheme="minorEastAsia"/>
          <w:shd w:val="clear" w:color="auto" w:fill="FEFFFE"/>
          <w:lang w:eastAsia="ru-RU"/>
        </w:rPr>
        <w:t xml:space="preserve">от «12» февраля 2024 года </w:t>
      </w:r>
    </w:p>
    <w:p w:rsidR="004A1926" w:rsidRPr="004A1926" w:rsidRDefault="004A1926" w:rsidP="004A1926">
      <w:pPr>
        <w:widowControl w:val="0"/>
        <w:shd w:val="clear" w:color="auto" w:fill="FEFFFE"/>
        <w:suppressAutoHyphens w:val="0"/>
        <w:autoSpaceDN w:val="0"/>
        <w:adjustRightInd w:val="0"/>
        <w:ind w:left="4962" w:right="43"/>
        <w:jc w:val="right"/>
        <w:rPr>
          <w:rFonts w:eastAsiaTheme="minorEastAsia"/>
          <w:shd w:val="clear" w:color="auto" w:fill="FEFFFE"/>
          <w:lang w:eastAsia="ru-RU"/>
        </w:rPr>
      </w:pPr>
      <w:r w:rsidRPr="004A1926">
        <w:rPr>
          <w:rFonts w:eastAsiaTheme="minorEastAsia"/>
          <w:shd w:val="clear" w:color="auto" w:fill="FEFFFE"/>
          <w:lang w:eastAsia="ru-RU"/>
        </w:rPr>
        <w:t>№ 164</w:t>
      </w:r>
    </w:p>
    <w:p w:rsidR="004A1926" w:rsidRPr="004A1926" w:rsidRDefault="004A1926" w:rsidP="004A1926">
      <w:pPr>
        <w:widowControl w:val="0"/>
        <w:shd w:val="clear" w:color="auto" w:fill="FEFFFE"/>
        <w:suppressAutoHyphens w:val="0"/>
        <w:autoSpaceDN w:val="0"/>
        <w:adjustRightInd w:val="0"/>
        <w:ind w:right="6"/>
        <w:jc w:val="center"/>
        <w:rPr>
          <w:rFonts w:eastAsiaTheme="minorEastAsia"/>
          <w:b/>
          <w:bCs/>
          <w:shd w:val="clear" w:color="auto" w:fill="FEFFFE"/>
          <w:lang w:eastAsia="ru-RU"/>
        </w:rPr>
      </w:pPr>
      <w:r w:rsidRPr="004A1926">
        <w:rPr>
          <w:rFonts w:eastAsiaTheme="minorEastAsia"/>
          <w:b/>
          <w:bCs/>
          <w:shd w:val="clear" w:color="auto" w:fill="FEFFFE"/>
          <w:lang w:eastAsia="ru-RU"/>
        </w:rPr>
        <w:t>Порядок</w:t>
      </w:r>
    </w:p>
    <w:p w:rsidR="004A1926" w:rsidRPr="004A1926" w:rsidRDefault="004A1926" w:rsidP="004A1926">
      <w:pPr>
        <w:widowControl w:val="0"/>
        <w:shd w:val="clear" w:color="auto" w:fill="FEFFFE"/>
        <w:suppressAutoHyphens w:val="0"/>
        <w:autoSpaceDN w:val="0"/>
        <w:adjustRightInd w:val="0"/>
        <w:ind w:right="6"/>
        <w:jc w:val="center"/>
        <w:rPr>
          <w:rFonts w:eastAsiaTheme="minorEastAsia"/>
          <w:b/>
          <w:bCs/>
          <w:shd w:val="clear" w:color="auto" w:fill="FEFFFE"/>
          <w:lang w:eastAsia="ru-RU"/>
        </w:rPr>
      </w:pPr>
      <w:r w:rsidRPr="004A1926">
        <w:rPr>
          <w:rFonts w:eastAsiaTheme="minorEastAsia"/>
          <w:b/>
          <w:bCs/>
          <w:shd w:val="clear" w:color="auto" w:fill="FEFFFE"/>
          <w:lang w:eastAsia="ru-RU"/>
        </w:rPr>
        <w:t xml:space="preserve">предоставления субсидий за счет средств бюджета муниципального образования «Муниципальный округ </w:t>
      </w:r>
      <w:proofErr w:type="spellStart"/>
      <w:r w:rsidRPr="004A1926">
        <w:rPr>
          <w:rFonts w:eastAsiaTheme="minorEastAsia"/>
          <w:b/>
          <w:bCs/>
          <w:shd w:val="clear" w:color="auto" w:fill="FEFFFE"/>
          <w:lang w:eastAsia="ru-RU"/>
        </w:rPr>
        <w:t>Якшур-Бодьинский</w:t>
      </w:r>
      <w:proofErr w:type="spellEnd"/>
      <w:r w:rsidRPr="004A1926">
        <w:rPr>
          <w:rFonts w:eastAsiaTheme="minorEastAsia"/>
          <w:b/>
          <w:bCs/>
          <w:shd w:val="clear" w:color="auto" w:fill="FEFFFE"/>
          <w:lang w:eastAsia="ru-RU"/>
        </w:rPr>
        <w:t xml:space="preserve"> район Удмуртской Республики» хозяйствующим субъектам на возмещение недополученных доходов в связи с предоставлением коммунальных услуг населению</w:t>
      </w:r>
    </w:p>
    <w:p w:rsidR="004A1926" w:rsidRPr="004A1926" w:rsidRDefault="004A1926" w:rsidP="004A1926">
      <w:pPr>
        <w:widowControl w:val="0"/>
        <w:shd w:val="clear" w:color="auto" w:fill="FEFFFE"/>
        <w:suppressAutoHyphens w:val="0"/>
        <w:autoSpaceDN w:val="0"/>
        <w:adjustRightInd w:val="0"/>
        <w:ind w:right="6"/>
        <w:jc w:val="center"/>
        <w:rPr>
          <w:rFonts w:eastAsiaTheme="minorEastAsia"/>
          <w:b/>
          <w:bCs/>
          <w:shd w:val="clear" w:color="auto" w:fill="FEFFFE"/>
          <w:lang w:eastAsia="ru-RU"/>
        </w:rPr>
      </w:pP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shd w:val="clear" w:color="auto" w:fill="FEFFFE"/>
          <w:lang w:eastAsia="zh-CN"/>
        </w:rPr>
        <w:t xml:space="preserve">1. </w:t>
      </w:r>
      <w:proofErr w:type="gramStart"/>
      <w:r w:rsidRPr="004A1926">
        <w:rPr>
          <w:rFonts w:eastAsiaTheme="minorHAnsi"/>
          <w:lang w:eastAsia="en-US"/>
        </w:rPr>
        <w:t xml:space="preserve">Настоящий Порядок определяет условия и механизм возмещения управляющим организациям, товариществам собственников жилья, жилищным кооперативам и иным специализированным кооперативам, </w:t>
      </w:r>
      <w:proofErr w:type="spellStart"/>
      <w:r w:rsidRPr="004A1926">
        <w:rPr>
          <w:rFonts w:eastAsiaTheme="minorHAnsi"/>
          <w:lang w:eastAsia="en-US"/>
        </w:rPr>
        <w:t>ресурсоснабжающим</w:t>
      </w:r>
      <w:proofErr w:type="spellEnd"/>
      <w:r w:rsidRPr="004A1926">
        <w:rPr>
          <w:rFonts w:eastAsiaTheme="minorHAnsi"/>
          <w:lang w:eastAsia="en-US"/>
        </w:rPr>
        <w:t xml:space="preserve"> организациям (далее - хозяйствующий субъект) недополученных доходов в связи с предоставлением гражданам меры социальной поддержки (далее - недополученные доходы)</w:t>
      </w:r>
      <w:r w:rsidRPr="004A1926">
        <w:rPr>
          <w:shd w:val="clear" w:color="auto" w:fill="FEFFFE"/>
          <w:lang w:eastAsia="zh-CN"/>
        </w:rPr>
        <w:t xml:space="preserve"> за счёт средств бюджета муниципального образования «Муниципальный округ </w:t>
      </w:r>
      <w:proofErr w:type="spellStart"/>
      <w:r w:rsidRPr="004A1926">
        <w:rPr>
          <w:shd w:val="clear" w:color="auto" w:fill="FEFFFE"/>
          <w:lang w:eastAsia="zh-CN"/>
        </w:rPr>
        <w:t>Якшур-Бодьинский</w:t>
      </w:r>
      <w:proofErr w:type="spellEnd"/>
      <w:r w:rsidRPr="004A1926">
        <w:rPr>
          <w:shd w:val="clear" w:color="auto" w:fill="FEFFFE"/>
          <w:lang w:eastAsia="zh-CN"/>
        </w:rPr>
        <w:t xml:space="preserve"> район Удмуртской Республики» (далее - субсидии)</w:t>
      </w:r>
      <w:r w:rsidRPr="004A1926">
        <w:rPr>
          <w:rFonts w:eastAsiaTheme="minorHAnsi"/>
          <w:lang w:eastAsia="en-US"/>
        </w:rPr>
        <w:t>, источником финансирования которых являются субвенции из бюджета Удмуртской Республики</w:t>
      </w:r>
      <w:proofErr w:type="gramEnd"/>
    </w:p>
    <w:p w:rsidR="004A1926" w:rsidRPr="004A1926" w:rsidRDefault="004A1926" w:rsidP="004A1926">
      <w:pPr>
        <w:widowControl w:val="0"/>
        <w:shd w:val="clear" w:color="auto" w:fill="FEFFFE"/>
        <w:suppressAutoHyphens w:val="0"/>
        <w:autoSpaceDN w:val="0"/>
        <w:adjustRightInd w:val="0"/>
        <w:ind w:left="28" w:right="4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4A1926">
        <w:rPr>
          <w:rFonts w:eastAsiaTheme="minorEastAsia"/>
          <w:shd w:val="clear" w:color="auto" w:fill="FEFFFE"/>
          <w:lang w:eastAsia="ru-RU"/>
        </w:rPr>
        <w:t xml:space="preserve">2. </w:t>
      </w:r>
      <w:proofErr w:type="gramStart"/>
      <w:r w:rsidRPr="004A1926">
        <w:rPr>
          <w:rFonts w:eastAsiaTheme="minorEastAsia"/>
          <w:shd w:val="clear" w:color="auto" w:fill="FEFFFE"/>
          <w:lang w:eastAsia="ru-RU"/>
        </w:rPr>
        <w:t>Целью предоставления субсидий является возмещение хозяйствующим субъектам недополученных доходов в виде разницы между тарифами для населения на коммунальные ресурсы, установленными уполномоченным органом исполнительной власти Удмуртской Республики, и тарифами для населения, определёнными с учётом индекса ограничения роста платы граждан за коммунальные услуги, установленными Указом Главы УР от 15.12.2023 года № 318 «Об установлении предельных (максимальных) индексов изменения размера вносимой гражданами платы за</w:t>
      </w:r>
      <w:proofErr w:type="gramEnd"/>
      <w:r w:rsidRPr="004A1926">
        <w:rPr>
          <w:rFonts w:eastAsiaTheme="minorEastAsia"/>
          <w:shd w:val="clear" w:color="auto" w:fill="FEFFFE"/>
          <w:lang w:eastAsia="ru-RU"/>
        </w:rPr>
        <w:t xml:space="preserve"> коммунальные услуги в муниципальных образованиях, образованных на территории Удмуртской Республики, на период с 2024 года по 2028 год» (далее – Указ). </w:t>
      </w:r>
    </w:p>
    <w:p w:rsidR="004A1926" w:rsidRPr="004A1926" w:rsidRDefault="004A1926" w:rsidP="004A1926">
      <w:pPr>
        <w:widowControl w:val="0"/>
        <w:shd w:val="clear" w:color="auto" w:fill="FEFFFE"/>
        <w:suppressAutoHyphens w:val="0"/>
        <w:autoSpaceDN w:val="0"/>
        <w:adjustRightInd w:val="0"/>
        <w:ind w:left="28" w:right="4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4A1926">
        <w:rPr>
          <w:rFonts w:eastAsiaTheme="minorEastAsia"/>
          <w:shd w:val="clear" w:color="auto" w:fill="FEFFFE"/>
          <w:lang w:eastAsia="ru-RU"/>
        </w:rPr>
        <w:t xml:space="preserve">3. </w:t>
      </w:r>
      <w:r w:rsidRPr="004A1926">
        <w:rPr>
          <w:rFonts w:eastAsiaTheme="minorHAnsi"/>
          <w:lang w:eastAsia="en-US"/>
        </w:rPr>
        <w:t xml:space="preserve">Предоставление меры социальной поддержки граждан и определение ее величины осуществляются ежемесячно путем уменьшения хозяйствующими субъектами размера платы за коммунальные услуги по отоплению, горячему водоснабжению, холодному водоснабжению и водоотведению в текущем месяце до расчетного размера платы. </w:t>
      </w:r>
      <w:proofErr w:type="gramStart"/>
      <w:r w:rsidRPr="004A1926">
        <w:rPr>
          <w:rFonts w:eastAsiaTheme="minorHAnsi"/>
          <w:lang w:eastAsia="en-US"/>
        </w:rPr>
        <w:t xml:space="preserve">При предоставлении в соответствии со </w:t>
      </w:r>
      <w:hyperlink r:id="rId18" w:history="1">
        <w:r w:rsidRPr="004A1926">
          <w:rPr>
            <w:rFonts w:eastAsiaTheme="minorHAnsi"/>
            <w:lang w:eastAsia="en-US"/>
          </w:rPr>
          <w:t>статьей 157.2</w:t>
        </w:r>
      </w:hyperlink>
      <w:r w:rsidRPr="004A1926">
        <w:rPr>
          <w:rFonts w:eastAsiaTheme="minorHAnsi"/>
          <w:lang w:eastAsia="en-US"/>
        </w:rPr>
        <w:t xml:space="preserve"> Жилищного кодекса Российской Федерации коммунальной услуги по горячему водоснабжению (в отсутствие централизованного горячего водоснабжения) теплоснабжающей организацией и организацией, осуществляющей холодное водоснабжение путем поставки коммунальных ресурсов (тепловой энергии на подогрев воды, холодной воды соответственно), предоставление меры социальной поддержки граждан и определение ее величины осуществляется ежемесячно путем уменьшения хозяйствующими субъектами размера платы за предоставляемую коммунальную</w:t>
      </w:r>
      <w:proofErr w:type="gramEnd"/>
      <w:r w:rsidRPr="004A1926">
        <w:rPr>
          <w:rFonts w:eastAsiaTheme="minorHAnsi"/>
          <w:lang w:eastAsia="en-US"/>
        </w:rPr>
        <w:t xml:space="preserve"> услугу по горячему водоснабжению путем поставки коммунального ресурса (тепловой энергии на подогрев воды) в текущем месяце до расчетного размера платы, определенного в соответствии с абзацем седьмым настоящего пункта.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4A1926">
        <w:rPr>
          <w:rFonts w:eastAsiaTheme="minorHAnsi"/>
          <w:lang w:eastAsia="en-US"/>
        </w:rPr>
        <w:t xml:space="preserve">Расчетный размер платы за коммунальные услуги по отоплению, горячему водоснабжению (с использованием централизованной системы горячего водоснабжения), холодному водоснабжению и водоотведению определяется как произведение объема соответствующей потребленной коммунальной услуги за текущий месяц и соответствующего тарифа (предельного уровня цены на тепловую энергию (мощность), но не выше цены, определенной в соглашении об исполнении схемы </w:t>
      </w:r>
      <w:r w:rsidRPr="004A1926">
        <w:rPr>
          <w:rFonts w:eastAsiaTheme="minorHAnsi"/>
          <w:lang w:eastAsia="en-US"/>
        </w:rPr>
        <w:lastRenderedPageBreak/>
        <w:t>теплоснабжения) за декабрь месяц года, предшествующего году, в котором</w:t>
      </w:r>
      <w:proofErr w:type="gramEnd"/>
      <w:r w:rsidRPr="004A1926">
        <w:rPr>
          <w:rFonts w:eastAsiaTheme="minorHAnsi"/>
          <w:lang w:eastAsia="en-US"/>
        </w:rPr>
        <w:t xml:space="preserve"> предоставляется мера социальной поддержки впервые, проиндексированного на предельные (максимальные) индексы изменения размера вносимой гражданами платы за коммунальные услуги за период, начиная с года, в котором предоставляется мера социальной поддержки впервые, включая год предоставления меры социальной поддержки.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>Расчетный размер платы за коммунальную услугу по горячему водоснабжению (в отсутствие централизованного горячего водоснабжения или после окончания переходного периода в ценовой зоне теплоснабжения) определяется как сумма двух составляющих: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>произведение объема потребленной потребителем горячей воды, приготовленной хозяйствующим субъектом, за текущий месяц и тарифа на холодную воду;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4A1926">
        <w:rPr>
          <w:rFonts w:eastAsiaTheme="minorHAnsi"/>
          <w:lang w:eastAsia="en-US"/>
        </w:rPr>
        <w:t>произведение объема (количества) тепловой энергии, используемой для подогрева холодной воды в целях предоставления коммунальной услуги по горячему водоснабжению, за текущий месяц и тарифа на тепловую энергию (предельного уровня цены на тепловую энергию (мощность), но не выше цены, определенной в соглашении об исполнении схемы теплоснабжения) за декабрь месяц года, предшествующего году, в котором предоставляется мера социальной поддержки впервые, проиндексированного на предельные</w:t>
      </w:r>
      <w:proofErr w:type="gramEnd"/>
      <w:r w:rsidRPr="004A1926">
        <w:rPr>
          <w:rFonts w:eastAsiaTheme="minorHAnsi"/>
          <w:lang w:eastAsia="en-US"/>
        </w:rPr>
        <w:t xml:space="preserve"> (максимальные) индексы изменения размера вносимой гражданами платы за коммунальные </w:t>
      </w:r>
      <w:proofErr w:type="gramStart"/>
      <w:r w:rsidRPr="004A1926">
        <w:rPr>
          <w:rFonts w:eastAsiaTheme="minorHAnsi"/>
          <w:lang w:eastAsia="en-US"/>
        </w:rPr>
        <w:t>услуги</w:t>
      </w:r>
      <w:proofErr w:type="gramEnd"/>
      <w:r w:rsidRPr="004A1926">
        <w:rPr>
          <w:rFonts w:eastAsiaTheme="minorHAnsi"/>
          <w:lang w:eastAsia="en-US"/>
        </w:rPr>
        <w:t xml:space="preserve"> за период начиная с года, в котором предоставляется мера социальной поддержки впервые, включая год предоставления меры социальной поддержки.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4A1926">
        <w:rPr>
          <w:rFonts w:eastAsiaTheme="minorHAnsi"/>
          <w:lang w:eastAsia="en-US"/>
        </w:rPr>
        <w:t xml:space="preserve">При предоставлении в соответствии со </w:t>
      </w:r>
      <w:hyperlink r:id="rId19" w:history="1">
        <w:r w:rsidRPr="004A1926">
          <w:rPr>
            <w:rFonts w:eastAsiaTheme="minorHAnsi"/>
            <w:lang w:eastAsia="en-US"/>
          </w:rPr>
          <w:t>статьей 157.2</w:t>
        </w:r>
      </w:hyperlink>
      <w:r w:rsidRPr="004A1926">
        <w:rPr>
          <w:rFonts w:eastAsiaTheme="minorHAnsi"/>
          <w:lang w:eastAsia="en-US"/>
        </w:rPr>
        <w:t xml:space="preserve"> Жилищного кодекса Российской Федерации коммунальной услуги по горячему водоснабжению (в отсутствие централизованного горячего водоснабжения или после окончания переходного периода в ценовой зоне теплоснабжения) теплоснабжающей организацией и организацией, осуществляющей холодное водоснабжение путем поставки коммунальных ресурсов (тепловой энергии на подогрев воды, холодной воды соответственно), расчетный размер платы за коммунальную услугу по горячему водоснабжению определяется:</w:t>
      </w:r>
      <w:proofErr w:type="gramEnd"/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4A1926">
        <w:rPr>
          <w:rFonts w:eastAsiaTheme="minorHAnsi"/>
          <w:lang w:eastAsia="en-US"/>
        </w:rPr>
        <w:t>как произведение объема (количества) тепловой энергии, используемой для подогрева холодной воды в целях предоставления коммунальной услуги по горячему водоснабжению, за текущий месяц и тарифа на тепловую энергию (предельного уровня цены на тепловую энергию (мощность), но не выше цены, определенной в соглашении об исполнении схемы теплоснабжения) за декабрь месяц года, предшествующего году, в котором предоставляется мера социальной поддержки впервые, проиндексированного на</w:t>
      </w:r>
      <w:proofErr w:type="gramEnd"/>
      <w:r w:rsidRPr="004A1926">
        <w:rPr>
          <w:rFonts w:eastAsiaTheme="minorHAnsi"/>
          <w:lang w:eastAsia="en-US"/>
        </w:rPr>
        <w:t xml:space="preserve"> предельные (максимальные) индексы изменения размера вносимой гражданами платы за коммунальные услуги за период, начиная с года, в котором предоставляется мера социальной поддержки впервые, включая год предоставления меры социальной поддержки (для теплоснабжающей организации);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>как произведение объема холодной воды, использованной в текущем месяце при производстве коммунальной услуги по горячему водоснабжению, и тарифа на холодную воду (для организации, осуществляющей холодное водоснабжение).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4A1926">
        <w:rPr>
          <w:rFonts w:eastAsiaTheme="minorHAnsi"/>
          <w:lang w:eastAsia="en-US"/>
        </w:rPr>
        <w:t>В случае изменения места жительства гражданина в границах муниципального образования, в целях определения расчетного размера платы за коммунальные услуги, предусмотренного настоящим пунктом, применяются тарифы на коммунальные ресурсы (применяется предельный уровень цены на тепловую энергию (мощность), но не выше цены, определенной в соглашении об исполнении схемы теплоснабжения), действовавшие (действовавший) для потребителей жилого помещения по новому месту жительства гражданина.</w:t>
      </w:r>
      <w:proofErr w:type="gramEnd"/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 xml:space="preserve">Расчет уменьшения размера платы граждан за коммунальные услуги осуществляется хозяйствующим субъектом </w:t>
      </w:r>
      <w:proofErr w:type="gramStart"/>
      <w:r w:rsidRPr="004A1926">
        <w:rPr>
          <w:rFonts w:eastAsiaTheme="minorHAnsi"/>
          <w:lang w:eastAsia="en-US"/>
        </w:rPr>
        <w:t xml:space="preserve">с указанием значения этого размера в </w:t>
      </w:r>
      <w:r w:rsidRPr="004A1926">
        <w:rPr>
          <w:rFonts w:eastAsiaTheme="minorHAnsi"/>
          <w:lang w:eastAsia="en-US"/>
        </w:rPr>
        <w:lastRenderedPageBreak/>
        <w:t>предъявляемом к оплате платежном документе за коммунальные услуги в отдельной строке</w:t>
      </w:r>
      <w:proofErr w:type="gramEnd"/>
      <w:r w:rsidRPr="004A1926">
        <w:rPr>
          <w:rFonts w:eastAsiaTheme="minorHAnsi"/>
          <w:lang w:eastAsia="en-US"/>
        </w:rPr>
        <w:t xml:space="preserve"> (графе).</w:t>
      </w:r>
    </w:p>
    <w:p w:rsidR="004A1926" w:rsidRPr="004A1926" w:rsidRDefault="004A1926" w:rsidP="004A1926">
      <w:pPr>
        <w:widowControl w:val="0"/>
        <w:shd w:val="clear" w:color="auto" w:fill="FEFFFE"/>
        <w:suppressAutoHyphens w:val="0"/>
        <w:autoSpaceDN w:val="0"/>
        <w:adjustRightInd w:val="0"/>
        <w:ind w:left="28" w:right="4" w:firstLine="567"/>
        <w:jc w:val="both"/>
        <w:rPr>
          <w:rFonts w:eastAsiaTheme="minorEastAsia"/>
          <w:shd w:val="clear" w:color="auto" w:fill="FEFFFE"/>
          <w:lang w:eastAsia="ru-RU"/>
        </w:rPr>
      </w:pPr>
    </w:p>
    <w:p w:rsidR="004A1926" w:rsidRPr="004A1926" w:rsidRDefault="004A1926" w:rsidP="004A1926">
      <w:pPr>
        <w:widowControl w:val="0"/>
        <w:shd w:val="clear" w:color="auto" w:fill="FEFFFE"/>
        <w:suppressAutoHyphens w:val="0"/>
        <w:autoSpaceDN w:val="0"/>
        <w:adjustRightInd w:val="0"/>
        <w:ind w:left="28" w:right="4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4A1926">
        <w:rPr>
          <w:rFonts w:eastAsiaTheme="minorEastAsia"/>
          <w:shd w:val="clear" w:color="auto" w:fill="FEFFFE"/>
          <w:lang w:eastAsia="ru-RU"/>
        </w:rPr>
        <w:t>4. Условиями предоставления субсидии являются: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4A1926">
        <w:rPr>
          <w:rFonts w:eastAsiaTheme="minorHAnsi"/>
          <w:lang w:eastAsia="en-US"/>
        </w:rPr>
        <w:t xml:space="preserve">1) уменьшение хозяйствующим субъектом размера платы за коммунальные услуги по отоплению, горячему водоснабжению, холодному водоснабжению и водоотведению до расчетного размера платы с указанием значения размера уменьшения платы в платежных документах, предъявленных гражданам к оплате, а в случае, предусмотренном </w:t>
      </w:r>
      <w:hyperlink r:id="rId20" w:history="1">
        <w:r w:rsidRPr="004A1926">
          <w:rPr>
            <w:rFonts w:eastAsiaTheme="minorHAnsi"/>
            <w:lang w:eastAsia="en-US"/>
          </w:rPr>
          <w:t>абзацем шестым пункта 3</w:t>
        </w:r>
      </w:hyperlink>
      <w:r w:rsidRPr="004A1926">
        <w:rPr>
          <w:rFonts w:eastAsiaTheme="minorHAnsi"/>
          <w:lang w:eastAsia="en-US"/>
        </w:rPr>
        <w:t xml:space="preserve"> настоящего Порядка, уменьшение хозяйствующим субъектом размера платы за предоставляемую коммунальную услугу по горячему водоснабжению путем поставки коммунального ресурса</w:t>
      </w:r>
      <w:proofErr w:type="gramEnd"/>
      <w:r w:rsidRPr="004A1926">
        <w:rPr>
          <w:rFonts w:eastAsiaTheme="minorHAnsi"/>
          <w:lang w:eastAsia="en-US"/>
        </w:rPr>
        <w:t xml:space="preserve"> (тепловой энергии на подогрев воды) до расчетного размера платы, определенного в соответствии с </w:t>
      </w:r>
      <w:hyperlink r:id="rId21" w:history="1">
        <w:r w:rsidRPr="004A1926">
          <w:rPr>
            <w:rFonts w:eastAsiaTheme="minorHAnsi"/>
            <w:lang w:eastAsia="en-US"/>
          </w:rPr>
          <w:t>абзацем седьмым пункта 3</w:t>
        </w:r>
      </w:hyperlink>
      <w:r w:rsidRPr="004A1926">
        <w:rPr>
          <w:rFonts w:eastAsiaTheme="minorHAnsi"/>
          <w:lang w:eastAsia="en-US"/>
        </w:rPr>
        <w:t xml:space="preserve"> настоящего Порядка, с указанием значения размера уменьшения платы в платежных документах, предъявленных гражданам к оплате;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 xml:space="preserve">2) наличие соглашения о предоставлении субсидии на возмещение недополученных доходов, заключенного между Администрацией муниципального образования «Муниципальный округ </w:t>
      </w:r>
      <w:proofErr w:type="spellStart"/>
      <w:r w:rsidRPr="004A1926">
        <w:rPr>
          <w:rFonts w:eastAsiaTheme="minorHAnsi"/>
          <w:lang w:eastAsia="en-US"/>
        </w:rPr>
        <w:t>Якшур-Бодьинский</w:t>
      </w:r>
      <w:proofErr w:type="spellEnd"/>
      <w:r w:rsidRPr="004A1926">
        <w:rPr>
          <w:rFonts w:eastAsiaTheme="minorHAnsi"/>
          <w:lang w:eastAsia="en-US"/>
        </w:rPr>
        <w:t xml:space="preserve"> район Удмуртской Республики» (далее – Администрация) и хозяйствующим субъектом (далее - Соглашение);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>3) соблюдение хозяйствующим субъектом сроков направления заявок на возмещение недополученных доходов и представление хозяйствующим субъектом отчетности в соответствии с условиями Соглашения.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shd w:val="clear" w:color="auto" w:fill="FEFFFE"/>
          <w:lang w:eastAsia="zh-CN"/>
        </w:rPr>
        <w:t xml:space="preserve">5. Соглашение должно предусматривать: 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>1) цели, условия, размер, порядок и сроки предоставления субсидий на возмещение недополученных доходов;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" w:name="Par2"/>
      <w:bookmarkEnd w:id="1"/>
      <w:r w:rsidRPr="004A1926">
        <w:rPr>
          <w:rFonts w:eastAsiaTheme="minorHAnsi"/>
          <w:lang w:eastAsia="en-US"/>
        </w:rPr>
        <w:t>2) перечень документов, подлежащих представлению хозяйствующим субъектом в орган местного самоуправления для предоставления субсидий, включающий: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>а) заявку хозяйствующего субъекта на предоставление субсидий на возмещение недополученных доходов;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>б) отчетные документы о фактическом предоставлении коммунальных услуг населению по форме, предусмотренной Соглашением;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4A1926">
        <w:rPr>
          <w:rFonts w:eastAsiaTheme="minorHAnsi"/>
          <w:lang w:eastAsia="en-US"/>
        </w:rPr>
        <w:t>в) реестр (ведомость) предоставления гражданам меры социальной поддержки по каждому многоквартирному и жилому дому (далее - реестр) с указанием адресов многоквартирных и жилых домов, общей площади жилых помещений и (или) количества проживающих (зарегистрированных) граждан, объема потребления по каждой коммунальной услуге (по приборам учета или нормативам) в жилом помещении, тарифов на коммунальные услуги (предельного уровня цены на тепловую энергию (мощность), но не</w:t>
      </w:r>
      <w:proofErr w:type="gramEnd"/>
      <w:r w:rsidRPr="004A1926">
        <w:rPr>
          <w:rFonts w:eastAsiaTheme="minorHAnsi"/>
          <w:lang w:eastAsia="en-US"/>
        </w:rPr>
        <w:t xml:space="preserve"> выше цены, определенной в соглашении об исполнении схемы теплоснабжения), в том числе за декабрь месяц года, предшествующего году, в котором предоставляется мера социальной поддержки впервые, суммы начисленной платы за коммунальные услуги, размера превышения платы за коммунальные услуги в текущем месяце над расчетным размером платы, размера предоставляемой гражданину меры социальной поддержки. </w:t>
      </w:r>
      <w:proofErr w:type="gramStart"/>
      <w:r w:rsidRPr="004A1926">
        <w:rPr>
          <w:rFonts w:eastAsiaTheme="minorHAnsi"/>
          <w:lang w:eastAsia="en-US"/>
        </w:rPr>
        <w:t xml:space="preserve">В случае предоставления в соответствии со </w:t>
      </w:r>
      <w:hyperlink r:id="rId22" w:history="1">
        <w:r w:rsidRPr="004A1926">
          <w:rPr>
            <w:rFonts w:eastAsiaTheme="minorHAnsi"/>
            <w:lang w:eastAsia="en-US"/>
          </w:rPr>
          <w:t>статьей 157.2</w:t>
        </w:r>
      </w:hyperlink>
      <w:r w:rsidRPr="004A1926">
        <w:rPr>
          <w:rFonts w:eastAsiaTheme="minorHAnsi"/>
          <w:lang w:eastAsia="en-US"/>
        </w:rPr>
        <w:t xml:space="preserve"> Жилищного кодекса Российской Федерации коммунальной услуги по горячему водоснабжению (в отсутствие централизованного горячего водоснабжения или после окончания переходного периода в ценовой зоне теплоснабжения) теплоснабжающей организацией и организацией, осуществляющей холодное водоснабжение путем поставки коммунальных ресурсов (тепловой энергии на подогрев воды, холодной воды соответственно), в реестр также включаются сведения об объеме потребления (по приборам</w:t>
      </w:r>
      <w:proofErr w:type="gramEnd"/>
      <w:r w:rsidRPr="004A1926">
        <w:rPr>
          <w:rFonts w:eastAsiaTheme="minorHAnsi"/>
          <w:lang w:eastAsia="en-US"/>
        </w:rPr>
        <w:t xml:space="preserve"> </w:t>
      </w:r>
      <w:proofErr w:type="gramStart"/>
      <w:r w:rsidRPr="004A1926">
        <w:rPr>
          <w:rFonts w:eastAsiaTheme="minorHAnsi"/>
          <w:lang w:eastAsia="en-US"/>
        </w:rPr>
        <w:t xml:space="preserve">учета или нормативам) коммунальной услуги по горячему водоснабжению путем поставки коммунального ресурса (тепловой энергии на подогрев воды) в жилом помещении и размере превышения платы за предоставляемую коммунальную услугу по </w:t>
      </w:r>
      <w:r w:rsidRPr="004A1926">
        <w:rPr>
          <w:rFonts w:eastAsiaTheme="minorHAnsi"/>
          <w:lang w:eastAsia="en-US"/>
        </w:rPr>
        <w:lastRenderedPageBreak/>
        <w:t xml:space="preserve">горячему водоснабжению путем поставки коммунального ресурса (тепловой энергии на подогрев воды) в текущем месяце над расчетным размером платы, определенным в соответствии с </w:t>
      </w:r>
      <w:hyperlink r:id="rId23" w:history="1">
        <w:r w:rsidRPr="004A1926">
          <w:rPr>
            <w:rFonts w:eastAsiaTheme="minorHAnsi"/>
            <w:lang w:eastAsia="en-US"/>
          </w:rPr>
          <w:t>абзацем седьмым пункта 3</w:t>
        </w:r>
      </w:hyperlink>
      <w:r w:rsidRPr="004A1926">
        <w:rPr>
          <w:rFonts w:eastAsiaTheme="minorHAnsi"/>
          <w:lang w:eastAsia="en-US"/>
        </w:rPr>
        <w:t xml:space="preserve"> настоящего Порядка;</w:t>
      </w:r>
      <w:proofErr w:type="gramEnd"/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>г) акты приема-передачи и (или) ведомости (отчеты) потребленного коммунального ресурса по конкретному многоквартирному дому;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 xml:space="preserve">3) условие о представлении хозяйствующим субъектом документов, предусмотренных </w:t>
      </w:r>
      <w:hyperlink w:anchor="Par2" w:history="1">
        <w:r w:rsidRPr="004A1926">
          <w:rPr>
            <w:rFonts w:eastAsiaTheme="minorHAnsi"/>
            <w:lang w:eastAsia="en-US"/>
          </w:rPr>
          <w:t>подпунктом 2</w:t>
        </w:r>
      </w:hyperlink>
      <w:r w:rsidRPr="004A1926">
        <w:rPr>
          <w:rFonts w:eastAsiaTheme="minorHAnsi"/>
          <w:lang w:eastAsia="en-US"/>
        </w:rPr>
        <w:t xml:space="preserve"> настоящего пункта, до 15-го числа месяца, следующего за расчетным месяцем;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>4) форму отчетных документов хозяйствующего субъекта о фактическом предоставлении коммунальных услуг;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 xml:space="preserve">5) положение об обязательной проверке Администрацией и Управлением финансов Администрации муниципального образования «Муниципальный округ </w:t>
      </w:r>
      <w:proofErr w:type="spellStart"/>
      <w:r w:rsidRPr="004A1926">
        <w:rPr>
          <w:rFonts w:eastAsiaTheme="minorHAnsi"/>
          <w:lang w:eastAsia="en-US"/>
        </w:rPr>
        <w:t>Якшур-Бодьинский</w:t>
      </w:r>
      <w:proofErr w:type="spellEnd"/>
      <w:r w:rsidRPr="004A1926">
        <w:rPr>
          <w:rFonts w:eastAsiaTheme="minorHAnsi"/>
          <w:lang w:eastAsia="en-US"/>
        </w:rPr>
        <w:t xml:space="preserve"> район Удмуртской Республики» соблюдения условий, целей и порядка предоставления субсидий хозяйствующему субъекту;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>6) порядок и сроки возврата субсидий в случае установления по итогам проверок факта нарушений условий, определенных муниципальным правовым актом и Соглашением;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>7) порядок возврата в текущем финансовом году хозяйствующим субъектом субсидий, не использованных в отчетном финансовом году, в случаях, предусмотренных Соглашением;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4A1926">
        <w:rPr>
          <w:rFonts w:eastAsiaTheme="minorHAnsi"/>
          <w:lang w:eastAsia="en-US"/>
        </w:rPr>
        <w:t>8) согласие хозяйствующего субъекта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хозяйствующим субъектом условий, целей и порядка</w:t>
      </w:r>
      <w:proofErr w:type="gramEnd"/>
      <w:r w:rsidRPr="004A1926">
        <w:rPr>
          <w:rFonts w:eastAsiaTheme="minorHAnsi"/>
          <w:lang w:eastAsia="en-US"/>
        </w:rPr>
        <w:t xml:space="preserve"> их предоставления;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>9) перечень многоквартирных домов и жилых домов, в которых проживают граждане, имеющие право на получение меры социальной поддержки.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shd w:val="clear" w:color="auto" w:fill="FEFFFE"/>
          <w:lang w:eastAsia="zh-CN"/>
        </w:rPr>
        <w:t xml:space="preserve">6. </w:t>
      </w:r>
      <w:r w:rsidRPr="004A1926">
        <w:rPr>
          <w:rFonts w:eastAsiaTheme="minorHAnsi"/>
          <w:lang w:eastAsia="en-US"/>
        </w:rPr>
        <w:t>Ежемесячный размер субсидии, предоставленной хозяйствующему субъекту, определяется как сумма величин предоставляемых гражданам мер социальной поддержки за коммунальные услуги по отоплению, горячему водоснабжению, холодному водоснабжению и водоотведению.</w:t>
      </w:r>
    </w:p>
    <w:p w:rsidR="004A1926" w:rsidRPr="004A1926" w:rsidRDefault="004A1926" w:rsidP="004A1926">
      <w:pPr>
        <w:widowControl w:val="0"/>
        <w:shd w:val="clear" w:color="auto" w:fill="FFFFFF" w:themeFill="background1"/>
        <w:suppressAutoHyphens w:val="0"/>
        <w:autoSpaceDN w:val="0"/>
        <w:adjustRightInd w:val="0"/>
        <w:ind w:left="24" w:right="9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4A1926">
        <w:rPr>
          <w:rFonts w:eastAsiaTheme="minorEastAsia"/>
          <w:shd w:val="clear" w:color="auto" w:fill="FEFFFE"/>
          <w:lang w:eastAsia="ru-RU"/>
        </w:rPr>
        <w:t xml:space="preserve">7. </w:t>
      </w:r>
      <w:proofErr w:type="gramStart"/>
      <w:r w:rsidRPr="004A1926">
        <w:rPr>
          <w:rFonts w:eastAsiaTheme="minorEastAsia"/>
          <w:shd w:val="clear" w:color="auto" w:fill="FEFFFE"/>
          <w:lang w:eastAsia="ru-RU"/>
        </w:rPr>
        <w:t xml:space="preserve">Для получения субсидии хозяйствующий субъект ежемесячно в срок до 5 числа месяца, следующего за отчётным, представляет в Администрацию  заявку на получение субсидии на очередной месяц по форме, предусмотренной Соглашением, и отчётные документы о фактическом предоставлении коммунальных услуг населению и исполнителям коммунальных услуг, предусмотренные Соглашением. </w:t>
      </w:r>
      <w:proofErr w:type="gramEnd"/>
    </w:p>
    <w:p w:rsidR="004A1926" w:rsidRPr="004A1926" w:rsidRDefault="004A1926" w:rsidP="004A1926">
      <w:pPr>
        <w:widowControl w:val="0"/>
        <w:shd w:val="clear" w:color="auto" w:fill="FEFFFE"/>
        <w:tabs>
          <w:tab w:val="left" w:pos="672"/>
          <w:tab w:val="left" w:pos="1282"/>
          <w:tab w:val="left" w:pos="3533"/>
          <w:tab w:val="left" w:pos="5856"/>
          <w:tab w:val="left" w:pos="7694"/>
        </w:tabs>
        <w:suppressAutoHyphens w:val="0"/>
        <w:autoSpaceDN w:val="0"/>
        <w:adjustRightInd w:val="0"/>
        <w:ind w:firstLine="567"/>
        <w:jc w:val="both"/>
        <w:rPr>
          <w:rFonts w:eastAsiaTheme="minorEastAsia"/>
          <w:shd w:val="clear" w:color="auto" w:fill="FEFFFE"/>
          <w:lang w:eastAsia="ru-RU"/>
        </w:rPr>
      </w:pPr>
      <w:r w:rsidRPr="004A1926">
        <w:rPr>
          <w:rFonts w:eastAsiaTheme="minorEastAsia"/>
          <w:lang w:eastAsia="ru-RU"/>
        </w:rPr>
        <w:t>8</w:t>
      </w:r>
      <w:r w:rsidRPr="004A1926">
        <w:rPr>
          <w:rFonts w:eastAsiaTheme="minorEastAsia"/>
          <w:shd w:val="clear" w:color="auto" w:fill="FEFFFE"/>
          <w:lang w:eastAsia="ru-RU"/>
        </w:rPr>
        <w:t xml:space="preserve">. Администрация регистрирует документы, предусмотренные в пункте 7 настоящего Порядка, в день их поступления. </w:t>
      </w:r>
    </w:p>
    <w:p w:rsidR="004A1926" w:rsidRPr="004A1926" w:rsidRDefault="004A1926" w:rsidP="004A1926">
      <w:pPr>
        <w:widowControl w:val="0"/>
        <w:shd w:val="clear" w:color="auto" w:fill="FEFFFE"/>
        <w:tabs>
          <w:tab w:val="left" w:pos="682"/>
          <w:tab w:val="left" w:pos="1296"/>
          <w:tab w:val="left" w:pos="3566"/>
          <w:tab w:val="left" w:pos="5918"/>
          <w:tab w:val="left" w:pos="7771"/>
          <w:tab w:val="left" w:pos="8314"/>
        </w:tabs>
        <w:suppressAutoHyphens w:val="0"/>
        <w:autoSpaceDN w:val="0"/>
        <w:adjustRightInd w:val="0"/>
        <w:ind w:left="28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4A1926">
        <w:rPr>
          <w:rFonts w:eastAsiaTheme="minorEastAsia"/>
          <w:lang w:eastAsia="ru-RU"/>
        </w:rPr>
        <w:t>9</w:t>
      </w:r>
      <w:r w:rsidRPr="004A1926">
        <w:rPr>
          <w:rFonts w:eastAsiaTheme="minorEastAsia"/>
          <w:shd w:val="clear" w:color="auto" w:fill="FEFFFE"/>
          <w:lang w:eastAsia="ru-RU"/>
        </w:rPr>
        <w:t xml:space="preserve">. Администрация в течение 7 рабочих дней осуществляет проверку достоверности и обоснованности документов, представленных хозяйствующим субъектом, и принимает решение о предоставлении субсидии или об отказе в предоставлении субсидии.   </w:t>
      </w:r>
    </w:p>
    <w:p w:rsidR="004A1926" w:rsidRPr="004A1926" w:rsidRDefault="004A1926" w:rsidP="004A1926">
      <w:pPr>
        <w:widowControl w:val="0"/>
        <w:shd w:val="clear" w:color="auto" w:fill="FEFFFE"/>
        <w:tabs>
          <w:tab w:val="left" w:pos="682"/>
          <w:tab w:val="left" w:pos="1296"/>
          <w:tab w:val="left" w:pos="3566"/>
          <w:tab w:val="left" w:pos="5918"/>
          <w:tab w:val="left" w:pos="7771"/>
          <w:tab w:val="left" w:pos="8314"/>
        </w:tabs>
        <w:suppressAutoHyphens w:val="0"/>
        <w:autoSpaceDN w:val="0"/>
        <w:adjustRightInd w:val="0"/>
        <w:ind w:left="28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4A1926">
        <w:rPr>
          <w:rFonts w:eastAsiaTheme="minorEastAsia"/>
          <w:shd w:val="clear" w:color="auto" w:fill="FEFFFE"/>
          <w:lang w:eastAsia="ru-RU"/>
        </w:rPr>
        <w:t xml:space="preserve">10. Основаниями для отказа в предоставлении субсидии являются: 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>1) несоответствие представленных хозяйствующим субъектом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>2) недостоверность представленной хозяйствующим субъектом информации;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t>3) несоответствие хозяйствующего субъекта категориям и (или) критериям отбора, установленным настоящим Порядком;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rFonts w:eastAsiaTheme="minorHAnsi"/>
          <w:lang w:eastAsia="en-US"/>
        </w:rPr>
        <w:lastRenderedPageBreak/>
        <w:t>4) несоответствие хозяйствующего субъекта требованиям, установленным настоящим Порядком.</w:t>
      </w:r>
    </w:p>
    <w:p w:rsidR="004A1926" w:rsidRPr="004A1926" w:rsidRDefault="004A1926" w:rsidP="004A1926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1926">
        <w:rPr>
          <w:shd w:val="clear" w:color="auto" w:fill="FEFFFE"/>
          <w:lang w:eastAsia="zh-CN"/>
        </w:rPr>
        <w:t xml:space="preserve">11. В случае принятия решения о предоставлении субсидии Администрация </w:t>
      </w:r>
      <w:r w:rsidRPr="004A1926">
        <w:rPr>
          <w:rFonts w:eastAsiaTheme="minorHAnsi"/>
          <w:lang w:eastAsia="en-US"/>
        </w:rPr>
        <w:t>в срок не позднее десятого рабочего дня со дня принятия решения о предоставлении субсидии перечисляет средства субсидии на расчетный или корреспондентский счет хозяйствующего субъекта, открытый в учреждении Центрального банка Российской Федерации или кредитной организации.</w:t>
      </w:r>
    </w:p>
    <w:p w:rsidR="004A1926" w:rsidRPr="004A1926" w:rsidRDefault="004A1926" w:rsidP="004A1926">
      <w:pPr>
        <w:widowControl w:val="0"/>
        <w:shd w:val="clear" w:color="auto" w:fill="FEFFFE"/>
        <w:suppressAutoHyphens w:val="0"/>
        <w:autoSpaceDN w:val="0"/>
        <w:adjustRightInd w:val="0"/>
        <w:ind w:left="24" w:right="9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4A1926">
        <w:rPr>
          <w:rFonts w:eastAsiaTheme="minorEastAsia"/>
          <w:shd w:val="clear" w:color="auto" w:fill="FEFFFE"/>
          <w:lang w:eastAsia="ru-RU"/>
        </w:rPr>
        <w:t xml:space="preserve">12. При выявлении Администрацией фактов предоставления хозяйствующим субъектом недостоверных документов и сведений для получения субсидии субсидия подлежит возврату в бюджет муниципального образования «Муниципальный округ </w:t>
      </w:r>
      <w:proofErr w:type="spellStart"/>
      <w:r w:rsidRPr="004A1926">
        <w:rPr>
          <w:rFonts w:eastAsiaTheme="minorEastAsia"/>
          <w:shd w:val="clear" w:color="auto" w:fill="FEFFFE"/>
          <w:lang w:eastAsia="ru-RU"/>
        </w:rPr>
        <w:t>Якшур-Бодьинский</w:t>
      </w:r>
      <w:proofErr w:type="spellEnd"/>
      <w:r w:rsidRPr="004A1926">
        <w:rPr>
          <w:rFonts w:eastAsiaTheme="minorEastAsia"/>
          <w:shd w:val="clear" w:color="auto" w:fill="FEFFFE"/>
          <w:lang w:eastAsia="ru-RU"/>
        </w:rPr>
        <w:t xml:space="preserve"> район Удмуртской Республики» в следующем порядке: </w:t>
      </w:r>
    </w:p>
    <w:p w:rsidR="004A1926" w:rsidRPr="004A1926" w:rsidRDefault="004A1926" w:rsidP="004A1926">
      <w:pPr>
        <w:widowControl w:val="0"/>
        <w:shd w:val="clear" w:color="auto" w:fill="FEFFFE"/>
        <w:suppressAutoHyphens w:val="0"/>
        <w:autoSpaceDN w:val="0"/>
        <w:adjustRightInd w:val="0"/>
        <w:ind w:firstLine="567"/>
        <w:jc w:val="both"/>
        <w:rPr>
          <w:rFonts w:eastAsiaTheme="minorEastAsia"/>
          <w:shd w:val="clear" w:color="auto" w:fill="FEFFFE"/>
          <w:lang w:eastAsia="ru-RU"/>
        </w:rPr>
      </w:pPr>
      <w:r w:rsidRPr="004A1926">
        <w:rPr>
          <w:rFonts w:eastAsiaTheme="minorEastAsia"/>
          <w:shd w:val="clear" w:color="auto" w:fill="FEFFFE"/>
          <w:lang w:eastAsia="ru-RU"/>
        </w:rPr>
        <w:t xml:space="preserve">1) Администрация муниципального образования «Муниципальный округ </w:t>
      </w:r>
      <w:proofErr w:type="spellStart"/>
      <w:r w:rsidRPr="004A1926">
        <w:rPr>
          <w:rFonts w:eastAsiaTheme="minorEastAsia"/>
          <w:shd w:val="clear" w:color="auto" w:fill="FEFFFE"/>
          <w:lang w:eastAsia="ru-RU"/>
        </w:rPr>
        <w:t>Якшур-Бодьинский</w:t>
      </w:r>
      <w:proofErr w:type="spellEnd"/>
      <w:r w:rsidRPr="004A1926">
        <w:rPr>
          <w:rFonts w:eastAsiaTheme="minorEastAsia"/>
          <w:shd w:val="clear" w:color="auto" w:fill="FEFFFE"/>
          <w:lang w:eastAsia="ru-RU"/>
        </w:rPr>
        <w:t xml:space="preserve"> район Удмуртской Республики»  в течение 10 дней со дня выявления нарушения направляет хозяйствующему субъекту письменное уведомление о возврате суммы предоставленной субсидии; </w:t>
      </w:r>
    </w:p>
    <w:p w:rsidR="004A1926" w:rsidRPr="004A1926" w:rsidRDefault="004A1926" w:rsidP="004A1926">
      <w:pPr>
        <w:widowControl w:val="0"/>
        <w:shd w:val="clear" w:color="auto" w:fill="FEFFFE"/>
        <w:suppressAutoHyphens w:val="0"/>
        <w:autoSpaceDN w:val="0"/>
        <w:adjustRightInd w:val="0"/>
        <w:ind w:left="33" w:right="9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4A1926">
        <w:rPr>
          <w:rFonts w:eastAsiaTheme="minorEastAsia"/>
          <w:shd w:val="clear" w:color="auto" w:fill="FEFFFE"/>
          <w:lang w:eastAsia="ru-RU"/>
        </w:rPr>
        <w:t xml:space="preserve">2) хозяйствующий субъект в течение 10 рабочих дней со дня получения письменного уведомления обязан перечислить указанные средства в бюджет муниципального образования «Муниципальный округ </w:t>
      </w:r>
      <w:proofErr w:type="spellStart"/>
      <w:r w:rsidRPr="004A1926">
        <w:rPr>
          <w:rFonts w:eastAsiaTheme="minorEastAsia"/>
          <w:shd w:val="clear" w:color="auto" w:fill="FEFFFE"/>
          <w:lang w:eastAsia="ru-RU"/>
        </w:rPr>
        <w:t>Якшур-Бодьинский</w:t>
      </w:r>
      <w:proofErr w:type="spellEnd"/>
      <w:r w:rsidRPr="004A1926">
        <w:rPr>
          <w:rFonts w:eastAsiaTheme="minorEastAsia"/>
          <w:shd w:val="clear" w:color="auto" w:fill="FEFFFE"/>
          <w:lang w:eastAsia="ru-RU"/>
        </w:rPr>
        <w:t xml:space="preserve"> район Удмуртской Республики». В случае не перечисления хозяйствующим субъектом средств в указанный срок Администрация  обращается в суд в порядке, установленном законодательством Российской Федерации. </w:t>
      </w:r>
    </w:p>
    <w:p w:rsidR="004A1926" w:rsidRPr="004A1926" w:rsidRDefault="004A1926" w:rsidP="004A1926">
      <w:pPr>
        <w:widowControl w:val="0"/>
        <w:shd w:val="clear" w:color="auto" w:fill="FEFFFE"/>
        <w:suppressAutoHyphens w:val="0"/>
        <w:autoSpaceDN w:val="0"/>
        <w:adjustRightInd w:val="0"/>
        <w:ind w:right="14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4A1926">
        <w:rPr>
          <w:rFonts w:eastAsiaTheme="minorEastAsia"/>
          <w:shd w:val="clear" w:color="auto" w:fill="FEFFFE"/>
          <w:lang w:eastAsia="ru-RU"/>
        </w:rPr>
        <w:t xml:space="preserve">13. </w:t>
      </w:r>
      <w:proofErr w:type="gramStart"/>
      <w:r w:rsidRPr="004A1926">
        <w:rPr>
          <w:rFonts w:eastAsiaTheme="minorEastAsia"/>
          <w:shd w:val="clear" w:color="auto" w:fill="FEFFFE"/>
          <w:lang w:eastAsia="ru-RU"/>
        </w:rPr>
        <w:t>Контроль за</w:t>
      </w:r>
      <w:proofErr w:type="gramEnd"/>
      <w:r w:rsidRPr="004A1926">
        <w:rPr>
          <w:rFonts w:eastAsiaTheme="minorEastAsia"/>
          <w:shd w:val="clear" w:color="auto" w:fill="FEFFFE"/>
          <w:lang w:eastAsia="ru-RU"/>
        </w:rPr>
        <w:t xml:space="preserve"> целевым использованием субсидии осуществляется Администрацией. </w:t>
      </w:r>
    </w:p>
    <w:p w:rsidR="004A1926" w:rsidRPr="004A1926" w:rsidRDefault="004A1926" w:rsidP="004A1926">
      <w:pPr>
        <w:widowControl w:val="0"/>
        <w:shd w:val="clear" w:color="auto" w:fill="FEFFFE"/>
        <w:suppressAutoHyphens w:val="0"/>
        <w:autoSpaceDN w:val="0"/>
        <w:adjustRightInd w:val="0"/>
        <w:ind w:right="14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4A1926">
        <w:rPr>
          <w:rFonts w:eastAsiaTheme="minorEastAsia"/>
          <w:shd w:val="clear" w:color="auto" w:fill="FEFFFE"/>
          <w:lang w:eastAsia="ru-RU"/>
        </w:rPr>
        <w:t xml:space="preserve">14. Администрация </w:t>
      </w:r>
      <w:r w:rsidRPr="004A1926">
        <w:rPr>
          <w:rFonts w:eastAsiaTheme="minorHAnsi"/>
          <w:lang w:eastAsia="en-US"/>
        </w:rPr>
        <w:t>ежеквартально в срок до 25 числа месяца, следующего за отчетным кварталом, направляет в адрес Министерства строительства, жилищно-коммунального хозяйства и энергетики Удмуртской Республики сводную информацию о предоставленных субсидиях на возмещение хозяйствующим субъектам недополученных доходов по форме, утвержденной Министерством строительства, жилищно-коммунального хозяйства и энергетики Удмуртской Республики.</w:t>
      </w:r>
    </w:p>
    <w:p w:rsidR="004A1926" w:rsidRDefault="004A192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A1926" w:rsidRDefault="004A192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A1926" w:rsidRDefault="004A192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A1926" w:rsidRDefault="004A192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A1926" w:rsidRDefault="004A192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A1926" w:rsidRDefault="004A192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A1926" w:rsidRDefault="004A192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A1926" w:rsidRDefault="004A192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A1926" w:rsidRPr="00081D61" w:rsidRDefault="004A192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58246E" w:rsidP="0058246E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14 февраля</w:t>
            </w:r>
            <w:r w:rsidR="00B66910">
              <w:rPr>
                <w:lang w:eastAsia="en-US"/>
              </w:rPr>
              <w:t xml:space="preserve"> 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24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B3" w:rsidRDefault="00C50DB3" w:rsidP="009565AE">
      <w:r>
        <w:separator/>
      </w:r>
    </w:p>
  </w:endnote>
  <w:endnote w:type="continuationSeparator" w:id="0">
    <w:p w:rsidR="00C50DB3" w:rsidRDefault="00C50DB3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Content>
      <w:p w:rsidR="00C50DB3" w:rsidRDefault="00C50D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B53">
          <w:rPr>
            <w:noProof/>
          </w:rPr>
          <w:t>1</w:t>
        </w:r>
        <w:r>
          <w:fldChar w:fldCharType="end"/>
        </w:r>
      </w:p>
    </w:sdtContent>
  </w:sdt>
  <w:p w:rsidR="00C50DB3" w:rsidRDefault="00C50D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B3" w:rsidRDefault="00C50DB3" w:rsidP="009565AE">
      <w:r>
        <w:separator/>
      </w:r>
    </w:p>
  </w:footnote>
  <w:footnote w:type="continuationSeparator" w:id="0">
    <w:p w:rsidR="00C50DB3" w:rsidRDefault="00C50DB3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7CA767C"/>
    <w:multiLevelType w:val="multilevel"/>
    <w:tmpl w:val="338852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880"/>
      </w:pPr>
      <w:rPr>
        <w:rFonts w:hint="default"/>
      </w:rPr>
    </w:lvl>
  </w:abstractNum>
  <w:abstractNum w:abstractNumId="22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4"/>
  </w:num>
  <w:num w:numId="5">
    <w:abstractNumId w:val="27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26"/>
  </w:num>
  <w:num w:numId="11">
    <w:abstractNumId w:val="20"/>
  </w:num>
  <w:num w:numId="12">
    <w:abstractNumId w:val="15"/>
  </w:num>
  <w:num w:numId="13">
    <w:abstractNumId w:val="1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0"/>
  </w:num>
  <w:num w:numId="18">
    <w:abstractNumId w:val="16"/>
  </w:num>
  <w:num w:numId="19">
    <w:abstractNumId w:val="25"/>
  </w:num>
  <w:num w:numId="20">
    <w:abstractNumId w:val="14"/>
  </w:num>
  <w:num w:numId="21">
    <w:abstractNumId w:val="19"/>
  </w:num>
  <w:num w:numId="22">
    <w:abstractNumId w:val="6"/>
  </w:num>
  <w:num w:numId="23">
    <w:abstractNumId w:val="17"/>
  </w:num>
  <w:num w:numId="24">
    <w:abstractNumId w:val="11"/>
  </w:num>
  <w:num w:numId="25">
    <w:abstractNumId w:val="22"/>
  </w:num>
  <w:num w:numId="26">
    <w:abstractNumId w:val="2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203C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94A55"/>
    <w:rsid w:val="00195444"/>
    <w:rsid w:val="00197AE8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244"/>
    <w:rsid w:val="001E7768"/>
    <w:rsid w:val="001F0C42"/>
    <w:rsid w:val="001F1FC8"/>
    <w:rsid w:val="001F397B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6DD7"/>
    <w:rsid w:val="0030424D"/>
    <w:rsid w:val="00307F3E"/>
    <w:rsid w:val="00311B53"/>
    <w:rsid w:val="0031736A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A1926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D1D3C"/>
    <w:rsid w:val="006D6B7B"/>
    <w:rsid w:val="006E2EE1"/>
    <w:rsid w:val="006E317D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2ED7"/>
    <w:rsid w:val="00794B75"/>
    <w:rsid w:val="00795496"/>
    <w:rsid w:val="00796E84"/>
    <w:rsid w:val="007A4476"/>
    <w:rsid w:val="007C0104"/>
    <w:rsid w:val="007C5738"/>
    <w:rsid w:val="007D1B1E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A329B4"/>
    <w:rsid w:val="00A32E5D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56B06"/>
    <w:rsid w:val="00B64648"/>
    <w:rsid w:val="00B66910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4BA"/>
    <w:rsid w:val="00C42AC4"/>
    <w:rsid w:val="00C43498"/>
    <w:rsid w:val="00C50DB3"/>
    <w:rsid w:val="00C5508C"/>
    <w:rsid w:val="00C55772"/>
    <w:rsid w:val="00C6409C"/>
    <w:rsid w:val="00C74FF2"/>
    <w:rsid w:val="00C80F67"/>
    <w:rsid w:val="00C82534"/>
    <w:rsid w:val="00C8530D"/>
    <w:rsid w:val="00C95445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7EC4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F1415"/>
    <w:rsid w:val="00E13F2F"/>
    <w:rsid w:val="00E17445"/>
    <w:rsid w:val="00E20AAE"/>
    <w:rsid w:val="00E229F5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33F0"/>
    <w:rsid w:val="00EA5C01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9150E"/>
    <w:rsid w:val="00F93256"/>
    <w:rsid w:val="00F94143"/>
    <w:rsid w:val="00F9425C"/>
    <w:rsid w:val="00FB746B"/>
    <w:rsid w:val="00FB783D"/>
    <w:rsid w:val="00FD0484"/>
    <w:rsid w:val="00FD1D09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login.consultant.ru/link/?req=doc&amp;base=LAW&amp;n=460029&amp;dst=74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53&amp;n=154523&amp;dst=10048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consultantplus://offline/ref=EADEF4CBDBEEA27A74EA6161BA93A69390C28909E1A3778A5AA519C364D55310B6F85AFDE7A1B93ABEED97F7B96AF08FA8D1CDCC9793A67002D231BFOCZ0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DEF4CBDBEEA27A74EA6161BA93A69390C28909E1A3798D51A019C364D55310B6F85AFDF5A1E136BCEB8DFFB77FA6DEEEO8Z6L" TargetMode="External"/><Relationship Id="rId20" Type="http://schemas.openxmlformats.org/officeDocument/2006/relationships/hyperlink" Target="https://login.consultant.ru/link/?req=doc&amp;base=RLAW053&amp;n=154523&amp;dst=10047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ADEF4CBDBEEA27A74EA7F6CACFFF89B97CBD505E1A275DF0FF71F943B855545F6B85CA8A4E6B732BBE6C7AEFB34A9DCEA9AC0C68F8FA67AO1ZEL" TargetMode="External"/><Relationship Id="rId23" Type="http://schemas.openxmlformats.org/officeDocument/2006/relationships/hyperlink" Target="https://login.consultant.ru/link/?req=doc&amp;base=RLAW053&amp;n=154523&amp;dst=100480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login.consultant.ru/link/?req=doc&amp;base=LAW&amp;n=460029&amp;dst=7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login.consultant.ru/link/?req=doc&amp;base=LAW&amp;n=460029&amp;dst=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49B5-9A5F-4351-BB77-A693F4F6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19</Pages>
  <Words>4655</Words>
  <Characters>26538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42</cp:revision>
  <cp:lastPrinted>2023-08-09T04:33:00Z</cp:lastPrinted>
  <dcterms:created xsi:type="dcterms:W3CDTF">2023-11-22T12:57:00Z</dcterms:created>
  <dcterms:modified xsi:type="dcterms:W3CDTF">2024-04-16T04:58:00Z</dcterms:modified>
</cp:coreProperties>
</file>